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10</w:t>
      </w:r>
      <w:r>
        <w:rPr>
          <w:rFonts w:hint="eastAsia" w:ascii="Arial" w:hAnsi="Arial" w:cs="Arial"/>
          <w:b/>
          <w:lang w:val="en-US" w:eastAsia="zh-CN"/>
        </w:rPr>
        <w:t>8</w:t>
      </w:r>
      <w:r>
        <w:rPr>
          <w:rFonts w:ascii="Arial" w:hAnsi="Arial" w:cs="Arial"/>
          <w:b/>
          <w:bCs/>
        </w:rPr>
        <w:t xml:space="preserve">      </w:t>
      </w:r>
      <w:r>
        <w:rPr>
          <w:rFonts w:ascii="Arial" w:hAnsi="Arial" w:cs="Arial"/>
          <w:b/>
          <w:bCs/>
        </w:rPr>
        <w:tab/>
      </w:r>
      <w:bookmarkStart w:id="0" w:name="_Hlk41145946"/>
      <w:r>
        <w:rPr>
          <w:rFonts w:ascii="Arial" w:hAnsi="Arial" w:cs="Arial"/>
          <w:b/>
          <w:bCs/>
        </w:rPr>
        <w:tab/>
      </w:r>
      <w:r>
        <w:rPr>
          <w:rFonts w:ascii="Arial" w:hAnsi="Arial" w:cs="Arial"/>
          <w:b/>
          <w:bCs/>
        </w:rPr>
        <w:t>R4-2</w:t>
      </w:r>
      <w:bookmarkEnd w:id="0"/>
      <w:r>
        <w:rPr>
          <w:rFonts w:hint="eastAsia" w:ascii="Arial" w:hAnsi="Arial" w:cs="Arial"/>
          <w:b/>
          <w:bCs/>
        </w:rPr>
        <w:t>3</w:t>
      </w:r>
      <w:r>
        <w:rPr>
          <w:rFonts w:hint="eastAsia" w:ascii="Arial" w:hAnsi="Arial" w:cs="Arial"/>
          <w:b/>
          <w:bCs/>
          <w:lang w:val="en-US" w:eastAsia="zh-CN"/>
        </w:rPr>
        <w:t>11788</w:t>
      </w:r>
    </w:p>
    <w:p>
      <w:pPr>
        <w:tabs>
          <w:tab w:val="left" w:pos="3106"/>
          <w:tab w:val="center" w:pos="4536"/>
          <w:tab w:val="right" w:pos="9072"/>
        </w:tabs>
        <w:jc w:val="both"/>
        <w:rPr>
          <w:rFonts w:ascii="Arial" w:hAnsi="Arial" w:cs="Arial"/>
          <w:b/>
          <w:bCs/>
        </w:rPr>
      </w:pPr>
      <w:r>
        <w:rPr>
          <w:rFonts w:hint="eastAsia" w:ascii="Arial" w:hAnsi="Arial" w:cs="Arial"/>
          <w:b/>
          <w:bCs/>
        </w:rPr>
        <w:t>Toulouse, France, Aug 21</w:t>
      </w:r>
      <w:r>
        <w:rPr>
          <w:rFonts w:hint="eastAsia" w:ascii="Arial" w:hAnsi="Arial" w:cs="Arial"/>
          <w:b/>
          <w:bCs/>
          <w:lang w:val="en-US" w:eastAsia="zh-CN"/>
        </w:rPr>
        <w:t xml:space="preserve"> -</w:t>
      </w:r>
      <w:r>
        <w:rPr>
          <w:rFonts w:hint="eastAsia" w:ascii="Arial" w:hAnsi="Arial" w:cs="Arial"/>
          <w:b/>
          <w:bCs/>
        </w:rPr>
        <w:t xml:space="preserve"> Aug 25, 2023</w:t>
      </w:r>
    </w:p>
    <w:p>
      <w:pPr>
        <w:tabs>
          <w:tab w:val="left" w:pos="1985"/>
        </w:tabs>
        <w:rPr>
          <w:b/>
          <w:sz w:val="22"/>
        </w:rPr>
      </w:pPr>
    </w:p>
    <w:p>
      <w:pPr>
        <w:tabs>
          <w:tab w:val="left" w:pos="1765"/>
          <w:tab w:val="center" w:pos="4557"/>
        </w:tabs>
        <w:rPr>
          <w:b/>
          <w:sz w:val="22"/>
        </w:rPr>
      </w:pPr>
      <w:r>
        <w:rPr>
          <w:b/>
          <w:sz w:val="22"/>
        </w:rPr>
        <w:t>Agenda Item:</w:t>
      </w:r>
      <w:r>
        <w:rPr>
          <w:b/>
          <w:sz w:val="22"/>
        </w:rPr>
        <w:tab/>
      </w:r>
      <w:r>
        <w:rPr>
          <w:sz w:val="22"/>
        </w:rPr>
        <w:t>8.1</w:t>
      </w:r>
      <w:r>
        <w:rPr>
          <w:rFonts w:hint="eastAsia"/>
          <w:sz w:val="22"/>
          <w:lang w:val="en-US" w:eastAsia="zh-CN"/>
        </w:rPr>
        <w:t>3</w:t>
      </w:r>
      <w:r>
        <w:rPr>
          <w:sz w:val="22"/>
        </w:rPr>
        <w:t>.4.1</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sz w:val="22"/>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Discussion on </w:t>
      </w:r>
      <w:bookmarkEnd w:id="2"/>
      <w:r>
        <w:rPr>
          <w:rFonts w:hint="eastAsia"/>
          <w:sz w:val="22"/>
        </w:rPr>
        <w:t>BS reference location accuracy</w:t>
      </w:r>
      <w:r>
        <w:rPr>
          <w:sz w:val="22"/>
        </w:rPr>
        <w:t xml:space="preserve"> </w:t>
      </w:r>
      <w:r>
        <w:rPr>
          <w:rFonts w:hint="eastAsia"/>
          <w:sz w:val="22"/>
        </w:rPr>
        <w:t>for</w:t>
      </w:r>
      <w:r>
        <w:rPr>
          <w:sz w:val="22"/>
        </w:rPr>
        <w:t xml:space="preserve"> NR ATG</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jc w:val="both"/>
        <w:rPr>
          <w:sz w:val="20"/>
          <w:szCs w:val="20"/>
        </w:rPr>
      </w:pPr>
      <w:r>
        <w:rPr>
          <w:rFonts w:hint="eastAsia"/>
          <w:sz w:val="20"/>
          <w:szCs w:val="20"/>
          <w:lang w:val="en-US" w:eastAsia="zh-CN"/>
        </w:rPr>
        <w:t>In RAN4#106bis, a r</w:t>
      </w:r>
      <w:r>
        <w:rPr>
          <w:sz w:val="20"/>
          <w:szCs w:val="20"/>
        </w:rPr>
        <w:t>eply LS for SIB19 applicability was sent by RAN2 [</w:t>
      </w:r>
      <w:r>
        <w:rPr>
          <w:rFonts w:hint="eastAsia"/>
          <w:sz w:val="20"/>
          <w:szCs w:val="20"/>
          <w:lang w:val="en-US" w:eastAsia="zh-CN"/>
        </w:rPr>
        <w:t>1</w:t>
      </w:r>
      <w:r>
        <w:rPr>
          <w:sz w:val="20"/>
          <w:szCs w:val="20"/>
        </w:rPr>
        <w:t>], we copy the content for information:</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5" w:type="dxa"/>
          </w:tcPr>
          <w:p>
            <w:pPr>
              <w:spacing w:after="120"/>
              <w:rPr>
                <w:rFonts w:ascii="Arial" w:hAnsi="Arial" w:cs="Arial"/>
                <w:b/>
                <w:sz w:val="20"/>
                <w:szCs w:val="20"/>
              </w:rPr>
            </w:pPr>
            <w:r>
              <w:rPr>
                <w:rFonts w:ascii="Arial" w:hAnsi="Arial" w:cs="Arial"/>
                <w:b/>
                <w:sz w:val="20"/>
                <w:szCs w:val="20"/>
              </w:rPr>
              <w:t>1. Overall Description:</w:t>
            </w:r>
          </w:p>
          <w:p>
            <w:pPr>
              <w:rPr>
                <w:rFonts w:ascii="Arial" w:hAnsi="Arial" w:cs="Arial"/>
                <w:color w:val="000000"/>
                <w:sz w:val="20"/>
                <w:szCs w:val="20"/>
                <w:lang w:eastAsia="ko-KR"/>
              </w:rPr>
            </w:pPr>
            <w:r>
              <w:rPr>
                <w:rFonts w:ascii="Arial" w:hAnsi="Arial" w:cs="Arial"/>
                <w:color w:val="000000"/>
                <w:sz w:val="20"/>
                <w:szCs w:val="20"/>
                <w:lang w:eastAsia="ko-KR"/>
              </w:rPr>
              <w:t>RAN2 would like to thank RAN4 for the LS on the applicability of the SIB19 for ATG. RAN2 understands the intention is that ATG BS provides location information to assist UE-based time and/or frequency pre-compensation.</w:t>
            </w:r>
          </w:p>
          <w:p>
            <w:pPr>
              <w:rPr>
                <w:rFonts w:ascii="Arial" w:hAnsi="Arial" w:cs="Arial"/>
                <w:color w:val="000000"/>
                <w:sz w:val="20"/>
                <w:szCs w:val="20"/>
                <w:lang w:eastAsia="ko-KR"/>
              </w:rPr>
            </w:pPr>
          </w:p>
          <w:p>
            <w:pPr>
              <w:rPr>
                <w:rFonts w:ascii="Arial" w:hAnsi="Arial" w:cs="Arial"/>
                <w:color w:val="000000"/>
                <w:sz w:val="20"/>
                <w:szCs w:val="20"/>
                <w:lang w:eastAsia="ko-KR"/>
              </w:rPr>
            </w:pPr>
            <w:r>
              <w:rPr>
                <w:rFonts w:ascii="Arial" w:hAnsi="Arial" w:cs="Arial"/>
                <w:color w:val="000000"/>
                <w:sz w:val="20"/>
                <w:szCs w:val="20"/>
                <w:lang w:eastAsia="ko-KR"/>
              </w:rPr>
              <w:t>RAN2 will address this and intends to find a solution for Rel-18 (via SIB19 or other SIB). Some companies in RAN2 think sharing exact base station’s location is sensitive. RAN2 kindly asks RAN4 to provide information on any required ATG ground station reference location accuracy (i.e., uncertainty in exact base station location).</w:t>
            </w:r>
          </w:p>
          <w:p>
            <w:pPr>
              <w:rPr>
                <w:rFonts w:ascii="Arial" w:hAnsi="Arial" w:cs="Arial"/>
                <w:color w:val="000000"/>
                <w:sz w:val="20"/>
                <w:szCs w:val="20"/>
                <w:lang w:eastAsia="ko-KR"/>
              </w:rPr>
            </w:pPr>
          </w:p>
          <w:p>
            <w:pPr>
              <w:spacing w:after="120"/>
              <w:rPr>
                <w:rFonts w:ascii="Arial" w:hAnsi="Arial" w:cs="Arial"/>
                <w:b/>
                <w:sz w:val="20"/>
                <w:szCs w:val="20"/>
              </w:rPr>
            </w:pPr>
            <w:r>
              <w:rPr>
                <w:rFonts w:ascii="Arial" w:hAnsi="Arial" w:cs="Arial"/>
                <w:b/>
                <w:sz w:val="20"/>
                <w:szCs w:val="20"/>
              </w:rPr>
              <w:t>2. Actions:</w:t>
            </w:r>
          </w:p>
          <w:p>
            <w:pPr>
              <w:spacing w:after="120"/>
              <w:ind w:left="1985" w:hanging="1985"/>
              <w:rPr>
                <w:rFonts w:ascii="Arial" w:hAnsi="Arial" w:cs="Arial"/>
                <w:b/>
                <w:sz w:val="20"/>
                <w:szCs w:val="20"/>
              </w:rPr>
            </w:pPr>
            <w:r>
              <w:rPr>
                <w:rFonts w:ascii="Arial" w:hAnsi="Arial" w:cs="Arial"/>
                <w:b/>
                <w:sz w:val="20"/>
                <w:szCs w:val="20"/>
              </w:rPr>
              <w:t>To</w:t>
            </w:r>
            <w:bookmarkStart w:id="5" w:name="_Hlk46227635"/>
            <w:r>
              <w:rPr>
                <w:rFonts w:ascii="Arial" w:hAnsi="Arial" w:cs="Arial"/>
                <w:b/>
                <w:sz w:val="20"/>
                <w:szCs w:val="20"/>
              </w:rPr>
              <w:t xml:space="preserve"> </w:t>
            </w:r>
            <w:bookmarkEnd w:id="5"/>
            <w:r>
              <w:rPr>
                <w:rFonts w:ascii="Arial" w:hAnsi="Arial" w:cs="Arial"/>
                <w:b/>
                <w:sz w:val="20"/>
                <w:szCs w:val="20"/>
              </w:rPr>
              <w:t>RAN4 group.</w:t>
            </w:r>
          </w:p>
          <w:p>
            <w:pPr>
              <w:rPr>
                <w:rFonts w:ascii="Arial" w:hAnsi="Arial" w:cs="Arial"/>
                <w:color w:val="000000"/>
                <w:sz w:val="20"/>
                <w:szCs w:val="20"/>
              </w:rPr>
            </w:pPr>
            <w:r>
              <w:rPr>
                <w:rFonts w:ascii="Arial" w:hAnsi="Arial" w:cs="Arial"/>
                <w:b/>
                <w:sz w:val="20"/>
                <w:szCs w:val="20"/>
              </w:rPr>
              <w:t>ACTION:</w:t>
            </w:r>
            <w:r>
              <w:rPr>
                <w:rFonts w:ascii="Arial" w:hAnsi="Arial" w:cs="Arial"/>
                <w:b/>
                <w:sz w:val="20"/>
                <w:szCs w:val="20"/>
              </w:rPr>
              <w:tab/>
            </w:r>
            <w:r>
              <w:rPr>
                <w:rFonts w:ascii="Arial" w:hAnsi="Arial" w:cs="Arial"/>
                <w:color w:val="000000"/>
                <w:sz w:val="20"/>
                <w:szCs w:val="20"/>
              </w:rPr>
              <w:t xml:space="preserve">RAN2 kindly asks RAN4 to </w:t>
            </w:r>
            <w:r>
              <w:rPr>
                <w:rFonts w:ascii="Arial" w:hAnsi="Arial" w:cs="Arial"/>
                <w:color w:val="000000"/>
                <w:sz w:val="20"/>
                <w:szCs w:val="20"/>
                <w:lang w:eastAsia="ko-KR"/>
              </w:rPr>
              <w:t>provide information on any required ATG ground station reference location accuracy.</w:t>
            </w:r>
          </w:p>
        </w:tc>
      </w:tr>
    </w:tbl>
    <w:p>
      <w:pPr>
        <w:tabs>
          <w:tab w:val="left" w:pos="1134"/>
        </w:tabs>
        <w:spacing w:before="60" w:after="120" w:line="240" w:lineRule="exact"/>
        <w:jc w:val="both"/>
        <w:rPr>
          <w:rFonts w:hint="eastAsia"/>
          <w:sz w:val="20"/>
          <w:szCs w:val="20"/>
          <w:lang w:val="en-US" w:eastAsia="zh-CN"/>
        </w:rPr>
      </w:pPr>
      <w:r>
        <w:rPr>
          <w:rFonts w:hint="eastAsia"/>
          <w:sz w:val="20"/>
          <w:szCs w:val="20"/>
          <w:lang w:val="en-US" w:eastAsia="zh-CN"/>
        </w:rPr>
        <w:t>In RAN4#107, RAN4 sent the reply LS to RAN2 [2], the reply LS confirms that base station is allowed to not provide the exact base station location. Meanwhile, the exact supported accuracy according to RAN4 requirements is still under discussion and it could be sent to RAN2 if it is needed by RAN2.</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spacing w:after="120" w:line="240" w:lineRule="auto"/>
              <w:rPr>
                <w:rFonts w:ascii="Arial" w:hAnsi="Arial" w:eastAsia="Times New Roman" w:cs="Arial"/>
                <w:b/>
                <w:sz w:val="21"/>
                <w:szCs w:val="21"/>
              </w:rPr>
            </w:pPr>
            <w:r>
              <w:rPr>
                <w:rFonts w:ascii="Arial" w:hAnsi="Arial" w:eastAsia="Times New Roman" w:cs="Arial"/>
                <w:b/>
                <w:sz w:val="21"/>
                <w:szCs w:val="21"/>
              </w:rPr>
              <w:t>1. Overall Description:</w:t>
            </w:r>
          </w:p>
          <w:p>
            <w:pPr>
              <w:spacing w:after="0" w:line="240" w:lineRule="auto"/>
              <w:jc w:val="both"/>
              <w:rPr>
                <w:rFonts w:ascii="Arial" w:hAnsi="Arial" w:eastAsia="Times New Roman" w:cs="Arial"/>
                <w:color w:val="000000"/>
                <w:sz w:val="20"/>
                <w:szCs w:val="20"/>
                <w:lang w:eastAsia="ko-KR"/>
              </w:rPr>
            </w:pPr>
            <w:r>
              <w:rPr>
                <w:rFonts w:ascii="Arial" w:hAnsi="Arial" w:eastAsia="Times New Roman" w:cs="Arial"/>
                <w:color w:val="000000"/>
                <w:sz w:val="20"/>
                <w:szCs w:val="20"/>
                <w:lang w:eastAsia="ko-KR"/>
              </w:rPr>
              <w:t>RAN4 would like to thank RAN2 for the reply LS on the applicability of the SIB19 for ATG. RAN4 has discussed the question from RAN2 on required ATG ground station reference location accuracy and had the following agreements:</w:t>
            </w:r>
          </w:p>
          <w:p>
            <w:pPr>
              <w:numPr>
                <w:ilvl w:val="0"/>
                <w:numId w:val="4"/>
              </w:numPr>
              <w:spacing w:before="120" w:after="120" w:line="288" w:lineRule="auto"/>
              <w:ind w:left="720" w:hanging="360"/>
              <w:contextualSpacing/>
              <w:jc w:val="both"/>
              <w:rPr>
                <w:rFonts w:ascii="Arial" w:hAnsi="Arial" w:eastAsia="Times New Roman" w:cs="Arial"/>
                <w:color w:val="000000"/>
                <w:sz w:val="20"/>
                <w:szCs w:val="20"/>
                <w:lang w:val="en-US" w:eastAsia="ko-KR" w:bidi="ar-SA"/>
              </w:rPr>
            </w:pPr>
            <w:r>
              <w:rPr>
                <w:rFonts w:ascii="Arial" w:hAnsi="Arial" w:eastAsia="Times New Roman" w:cs="Arial"/>
                <w:color w:val="000000"/>
                <w:sz w:val="20"/>
                <w:szCs w:val="20"/>
                <w:lang w:val="en-US" w:eastAsia="ko-KR" w:bidi="ar-SA"/>
              </w:rPr>
              <w:t>Base station is allowed to not provide the exact base station location. The exact supported accuracy according to RAN4 requirements is still under discussion and it could be sent to RAN2 if it is needed by RAN2.</w:t>
            </w:r>
          </w:p>
          <w:p>
            <w:pPr>
              <w:numPr>
                <w:ilvl w:val="0"/>
                <w:numId w:val="4"/>
              </w:numPr>
              <w:spacing w:before="120" w:after="120" w:line="288" w:lineRule="auto"/>
              <w:ind w:left="720" w:hanging="360"/>
              <w:contextualSpacing/>
              <w:jc w:val="both"/>
              <w:rPr>
                <w:rFonts w:ascii="Arial" w:hAnsi="Arial" w:eastAsia="Times New Roman" w:cs="Arial"/>
                <w:color w:val="000000"/>
                <w:sz w:val="20"/>
                <w:szCs w:val="20"/>
                <w:lang w:val="en-US" w:eastAsia="ko-KR" w:bidi="ar-SA"/>
              </w:rPr>
            </w:pPr>
            <w:r>
              <w:rPr>
                <w:rFonts w:ascii="Arial" w:hAnsi="Arial" w:eastAsia="Times New Roman" w:cs="Arial"/>
                <w:color w:val="000000"/>
                <w:sz w:val="20"/>
                <w:szCs w:val="20"/>
                <w:lang w:val="en-US" w:eastAsia="ko-KR" w:bidi="ar-SA"/>
              </w:rPr>
              <w:t>RAN4 assumes the BS location accuracy does not need to be specified</w:t>
            </w:r>
            <w:r>
              <w:rPr>
                <w:rFonts w:hint="eastAsia" w:ascii="宋体" w:hAnsi="宋体" w:eastAsia="宋体" w:cs="宋体"/>
                <w:color w:val="000000"/>
                <w:sz w:val="20"/>
                <w:szCs w:val="20"/>
                <w:lang w:val="en-US" w:eastAsia="zh-CN" w:bidi="ar-SA"/>
              </w:rPr>
              <w:t>.</w:t>
            </w:r>
          </w:p>
          <w:p>
            <w:pPr>
              <w:numPr>
                <w:ilvl w:val="0"/>
                <w:numId w:val="4"/>
              </w:numPr>
              <w:spacing w:before="120" w:after="120" w:line="288" w:lineRule="auto"/>
              <w:ind w:left="720" w:hanging="360"/>
              <w:contextualSpacing/>
              <w:jc w:val="both"/>
              <w:rPr>
                <w:rFonts w:ascii="Arial" w:hAnsi="Arial" w:eastAsia="Times New Roman" w:cs="Arial"/>
                <w:color w:val="000000"/>
                <w:sz w:val="20"/>
                <w:szCs w:val="20"/>
                <w:lang w:val="en-US" w:eastAsia="ko-KR" w:bidi="ar-SA"/>
              </w:rPr>
            </w:pPr>
            <w:r>
              <w:rPr>
                <w:rFonts w:ascii="Arial" w:hAnsi="Arial" w:eastAsia="Times New Roman" w:cs="Arial"/>
                <w:color w:val="000000"/>
                <w:sz w:val="20"/>
                <w:szCs w:val="20"/>
                <w:lang w:val="en-US" w:eastAsia="ko-KR" w:bidi="ar-SA"/>
              </w:rPr>
              <w:t>UE performs the frequency/time pre-compensation based on the indicated BS location and the actual UE location, where the UE frequency/timing pre-compensation does not consider the error due to the misalignment between the indicated BS location and the actual BS location.</w:t>
            </w:r>
          </w:p>
          <w:p>
            <w:pPr>
              <w:spacing w:after="0" w:line="240" w:lineRule="auto"/>
              <w:jc w:val="both"/>
              <w:rPr>
                <w:rFonts w:ascii="Arial" w:hAnsi="Arial" w:eastAsia="Times New Roman" w:cs="Arial"/>
                <w:color w:val="000000"/>
                <w:sz w:val="20"/>
                <w:szCs w:val="20"/>
              </w:rPr>
            </w:pPr>
            <w:r>
              <w:rPr>
                <w:rFonts w:ascii="Arial" w:hAnsi="Arial" w:eastAsia="Times New Roman" w:cs="Arial"/>
                <w:color w:val="000000"/>
                <w:sz w:val="20"/>
                <w:szCs w:val="20"/>
              </w:rPr>
              <w:t>In addition, RAN4 would like to respectfully inform RAN2 that RAN4 has agreed to introduce the mechanism of k</w:t>
            </w:r>
            <w:r>
              <w:rPr>
                <w:rFonts w:ascii="Arial" w:hAnsi="Arial" w:eastAsia="Times New Roman" w:cs="Arial"/>
                <w:color w:val="000000"/>
                <w:sz w:val="20"/>
                <w:szCs w:val="20"/>
                <w:vertAlign w:val="subscript"/>
              </w:rPr>
              <w:t>offset</w:t>
            </w:r>
            <w:r>
              <w:rPr>
                <w:rFonts w:ascii="Arial" w:hAnsi="Arial" w:eastAsia="Times New Roman" w:cs="Arial"/>
                <w:color w:val="000000"/>
                <w:sz w:val="20"/>
                <w:szCs w:val="20"/>
              </w:rPr>
              <w:t xml:space="preserve"> in ATG system as NTN, whether and how to configure k</w:t>
            </w:r>
            <w:r>
              <w:rPr>
                <w:rFonts w:ascii="Arial" w:hAnsi="Arial" w:eastAsia="Times New Roman" w:cs="Arial"/>
                <w:color w:val="000000"/>
                <w:sz w:val="20"/>
                <w:szCs w:val="20"/>
                <w:vertAlign w:val="subscript"/>
              </w:rPr>
              <w:t>offset</w:t>
            </w:r>
            <w:r>
              <w:rPr>
                <w:rFonts w:ascii="Arial" w:hAnsi="Arial" w:eastAsia="Times New Roman" w:cs="Arial"/>
                <w:color w:val="000000"/>
                <w:sz w:val="20"/>
                <w:szCs w:val="20"/>
              </w:rPr>
              <w:t xml:space="preserve"> is up to network implementation. RAN4 kindly asks RAN2 to take this information into account when considering the applicability of SIB19 for ATG and design corresponding signaling for it.</w:t>
            </w:r>
          </w:p>
          <w:p>
            <w:pPr>
              <w:spacing w:after="0" w:line="240" w:lineRule="auto"/>
              <w:jc w:val="both"/>
              <w:rPr>
                <w:rFonts w:ascii="Arial" w:hAnsi="Arial" w:eastAsia="Times New Roman" w:cs="Arial"/>
                <w:color w:val="000000"/>
                <w:sz w:val="20"/>
                <w:szCs w:val="20"/>
                <w:lang w:eastAsia="ko-KR"/>
              </w:rPr>
            </w:pPr>
            <w:r>
              <w:rPr>
                <w:rFonts w:ascii="Arial" w:hAnsi="Arial" w:eastAsia="Times New Roman" w:cs="Arial"/>
                <w:color w:val="000000"/>
                <w:sz w:val="20"/>
                <w:szCs w:val="20"/>
                <w:lang w:eastAsia="ko-KR"/>
              </w:rPr>
              <w:t>RAN4 kindly asks RAN2 to take the above information into account.</w:t>
            </w:r>
          </w:p>
          <w:p>
            <w:pPr>
              <w:spacing w:after="0" w:line="240" w:lineRule="auto"/>
              <w:rPr>
                <w:rFonts w:ascii="Arial" w:hAnsi="Arial" w:eastAsia="Times New Roman" w:cs="Arial"/>
                <w:color w:val="000000"/>
                <w:sz w:val="21"/>
                <w:szCs w:val="21"/>
                <w:lang w:eastAsia="ko-KR"/>
              </w:rPr>
            </w:pPr>
          </w:p>
          <w:p>
            <w:pPr>
              <w:spacing w:after="120" w:line="240" w:lineRule="auto"/>
              <w:rPr>
                <w:rFonts w:ascii="Arial" w:hAnsi="Arial" w:eastAsia="Times New Roman" w:cs="Arial"/>
                <w:b/>
                <w:sz w:val="21"/>
                <w:szCs w:val="21"/>
              </w:rPr>
            </w:pPr>
            <w:r>
              <w:rPr>
                <w:rFonts w:ascii="Arial" w:hAnsi="Arial" w:eastAsia="Times New Roman" w:cs="Arial"/>
                <w:b/>
                <w:sz w:val="21"/>
                <w:szCs w:val="21"/>
              </w:rPr>
              <w:t>2. Actions:</w:t>
            </w:r>
          </w:p>
          <w:p>
            <w:pPr>
              <w:spacing w:after="120" w:line="240" w:lineRule="auto"/>
              <w:ind w:left="1985" w:hanging="1985"/>
              <w:rPr>
                <w:rFonts w:ascii="Arial" w:hAnsi="Arial" w:eastAsia="Times New Roman" w:cs="Arial"/>
                <w:b/>
                <w:sz w:val="21"/>
                <w:szCs w:val="21"/>
              </w:rPr>
            </w:pPr>
            <w:r>
              <w:rPr>
                <w:rFonts w:ascii="Arial" w:hAnsi="Arial" w:eastAsia="Times New Roman" w:cs="Arial"/>
                <w:b/>
                <w:sz w:val="21"/>
                <w:szCs w:val="21"/>
              </w:rPr>
              <w:t>To RAN2 group.</w:t>
            </w:r>
          </w:p>
          <w:p>
            <w:pPr>
              <w:spacing w:after="0" w:line="240" w:lineRule="auto"/>
              <w:rPr>
                <w:rFonts w:hint="default"/>
                <w:sz w:val="20"/>
                <w:szCs w:val="20"/>
                <w:vertAlign w:val="baseline"/>
                <w:lang w:val="en-US" w:eastAsia="zh-CN"/>
              </w:rPr>
            </w:pPr>
            <w:r>
              <w:rPr>
                <w:rFonts w:ascii="Arial" w:hAnsi="Arial" w:eastAsia="Times New Roman" w:cs="Arial"/>
                <w:b/>
                <w:sz w:val="20"/>
                <w:szCs w:val="20"/>
              </w:rPr>
              <w:t>ACTION:</w:t>
            </w:r>
            <w:r>
              <w:rPr>
                <w:rFonts w:ascii="Arial" w:hAnsi="Arial" w:eastAsia="Times New Roman" w:cs="Arial"/>
                <w:b/>
                <w:sz w:val="20"/>
                <w:szCs w:val="20"/>
              </w:rPr>
              <w:tab/>
            </w:r>
            <w:r>
              <w:rPr>
                <w:rFonts w:ascii="Arial" w:hAnsi="Arial" w:eastAsia="Times New Roman" w:cs="Arial"/>
                <w:color w:val="000000"/>
                <w:sz w:val="20"/>
                <w:szCs w:val="20"/>
              </w:rPr>
              <w:t>RAN4 kindly asks RAN2 to take the above information into account.</w:t>
            </w:r>
          </w:p>
        </w:tc>
      </w:tr>
    </w:tbl>
    <w:p>
      <w:pPr>
        <w:tabs>
          <w:tab w:val="left" w:pos="1134"/>
        </w:tabs>
        <w:spacing w:before="60" w:after="120" w:line="240" w:lineRule="exact"/>
        <w:rPr>
          <w:rFonts w:hint="default"/>
          <w:sz w:val="20"/>
          <w:szCs w:val="20"/>
          <w:lang w:val="en-US" w:eastAsia="zh-CN"/>
        </w:rPr>
      </w:pPr>
      <w:r>
        <w:rPr>
          <w:sz w:val="20"/>
          <w:szCs w:val="20"/>
        </w:rPr>
        <w:t xml:space="preserve">In this contribution, we </w:t>
      </w:r>
      <w:r>
        <w:rPr>
          <w:rFonts w:hint="eastAsia"/>
          <w:sz w:val="20"/>
          <w:szCs w:val="20"/>
          <w:lang w:val="en-US" w:eastAsia="zh-CN"/>
        </w:rPr>
        <w:t>further analyze the exact supported accuracy of indicated BS location.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bookmarkStart w:id="6" w:name="_Hlk70326378"/>
      <w:bookmarkStart w:id="7" w:name="OLE_LINK2"/>
      <w:bookmarkStart w:id="8" w:name="OLE_LINK1"/>
      <w:r>
        <w:rPr>
          <w:rFonts w:ascii="Times New Roman" w:hAnsi="Times New Roman"/>
          <w:b w:val="0"/>
          <w:bCs w:val="0"/>
          <w:kern w:val="0"/>
          <w:sz w:val="36"/>
          <w:szCs w:val="36"/>
          <w:lang w:val="en-GB"/>
        </w:rPr>
        <w:t xml:space="preserve">BS location accuracy </w:t>
      </w:r>
    </w:p>
    <w:p>
      <w:pPr>
        <w:autoSpaceDN w:val="0"/>
        <w:spacing w:before="60"/>
        <w:jc w:val="both"/>
        <w:rPr>
          <w:rFonts w:hint="default" w:eastAsia="宋体"/>
          <w:sz w:val="20"/>
          <w:szCs w:val="20"/>
          <w:lang w:val="en-US" w:eastAsia="zh-CN"/>
        </w:rPr>
      </w:pPr>
      <w:r>
        <w:rPr>
          <w:rFonts w:eastAsia="宋体"/>
          <w:sz w:val="20"/>
          <w:szCs w:val="20"/>
        </w:rPr>
        <w:t xml:space="preserve">The motivation of RAN2 inquired the BS location accuracy is to avoid the exposure of the gNB location information, which may cause security risk without any reserve. </w:t>
      </w:r>
    </w:p>
    <w:p>
      <w:pPr>
        <w:autoSpaceDN w:val="0"/>
        <w:spacing w:before="60"/>
        <w:jc w:val="both"/>
        <w:rPr>
          <w:rFonts w:hint="eastAsia" w:eastAsia="宋体"/>
          <w:sz w:val="20"/>
          <w:szCs w:val="20"/>
          <w:lang w:val="en-US" w:eastAsia="zh-CN"/>
        </w:rPr>
      </w:pPr>
      <w:r>
        <w:rPr>
          <w:rFonts w:hint="eastAsia" w:eastAsia="宋体"/>
          <w:sz w:val="20"/>
          <w:szCs w:val="20"/>
          <w:lang w:val="en-US" w:eastAsia="zh-CN"/>
        </w:rPr>
        <w:t xml:space="preserve">RAN4 has agreed that </w:t>
      </w:r>
      <w:r>
        <w:rPr>
          <w:rFonts w:hint="default" w:eastAsia="宋体"/>
          <w:sz w:val="20"/>
          <w:szCs w:val="20"/>
          <w:lang w:val="en-US" w:eastAsia="zh-CN"/>
        </w:rPr>
        <w:t>“</w:t>
      </w:r>
      <w:r>
        <w:rPr>
          <w:rFonts w:hint="eastAsia" w:eastAsia="宋体"/>
          <w:b/>
          <w:bCs/>
          <w:sz w:val="20"/>
          <w:szCs w:val="20"/>
          <w:lang w:val="en-US" w:eastAsia="zh-CN"/>
        </w:rPr>
        <w:t>BS is allowed to provide an indicated BS location, and UE doesn</w:t>
      </w:r>
      <w:r>
        <w:rPr>
          <w:rFonts w:hint="default" w:eastAsia="宋体"/>
          <w:b/>
          <w:bCs/>
          <w:sz w:val="20"/>
          <w:szCs w:val="20"/>
          <w:lang w:val="en-US" w:eastAsia="zh-CN"/>
        </w:rPr>
        <w:t>’</w:t>
      </w:r>
      <w:r>
        <w:rPr>
          <w:rFonts w:hint="eastAsia" w:eastAsia="宋体"/>
          <w:b/>
          <w:bCs/>
          <w:sz w:val="20"/>
          <w:szCs w:val="20"/>
          <w:lang w:val="en-US" w:eastAsia="zh-CN"/>
        </w:rPr>
        <w:t>t need to consider the timing/frequency error due to the misalignment between the indicated BS and the actual BS location</w:t>
      </w:r>
      <w:r>
        <w:rPr>
          <w:rFonts w:hint="default" w:eastAsia="宋体"/>
          <w:sz w:val="20"/>
          <w:szCs w:val="20"/>
          <w:lang w:val="en-US" w:eastAsia="zh-CN"/>
        </w:rPr>
        <w:t>”</w:t>
      </w:r>
      <w:r>
        <w:rPr>
          <w:rFonts w:hint="eastAsia" w:eastAsia="宋体"/>
          <w:sz w:val="20"/>
          <w:szCs w:val="20"/>
          <w:lang w:val="en-US" w:eastAsia="zh-CN"/>
        </w:rPr>
        <w:t>. One of the argument is that the timing error can be compensated by network since the error of indicated BS location is known by network. The other argument is that the close-loop TA could also compensate the timing error. However, the frequency error during whole transmission and the timing error during PRACH introduced by BS location error could not be compensated either by network or by UE. Therefore, the error of indicated BS location should be under a threshold.</w:t>
      </w:r>
    </w:p>
    <w:p>
      <w:pPr>
        <w:autoSpaceDN w:val="0"/>
        <w:spacing w:before="60"/>
        <w:jc w:val="both"/>
        <w:rPr>
          <w:rFonts w:hint="eastAsia" w:eastAsia="宋体"/>
          <w:sz w:val="20"/>
          <w:szCs w:val="20"/>
          <w:lang w:val="en-US" w:eastAsia="zh-CN"/>
        </w:rPr>
      </w:pPr>
      <w:r>
        <w:rPr>
          <w:rFonts w:hint="eastAsia" w:eastAsia="宋体"/>
          <w:sz w:val="20"/>
          <w:szCs w:val="20"/>
          <w:lang w:val="en-US" w:eastAsia="zh-CN"/>
        </w:rPr>
        <w:t>From the perspective of frequency error, the total frequency error (</w:t>
      </w:r>
      <w:r>
        <w:rPr>
          <w:rFonts w:hint="default" w:ascii="Times New Roman" w:hAnsi="Times New Roman" w:eastAsia="宋体" w:cs="Times New Roman"/>
          <w:sz w:val="20"/>
          <w:szCs w:val="20"/>
          <w:lang w:val="en-US" w:eastAsia="zh-CN"/>
        </w:rPr>
        <w:t>Δ</w:t>
      </w:r>
      <w:r>
        <w:rPr>
          <w:rFonts w:hint="eastAsia" w:eastAsia="宋体" w:cs="Times New Roman"/>
          <w:sz w:val="20"/>
          <w:szCs w:val="20"/>
          <w:lang w:val="en-US" w:eastAsia="zh-CN"/>
        </w:rPr>
        <w:t>F</w:t>
      </w:r>
      <w:r>
        <w:rPr>
          <w:rFonts w:hint="eastAsia" w:eastAsia="宋体" w:cs="Times New Roman"/>
          <w:sz w:val="20"/>
          <w:szCs w:val="20"/>
          <w:vertAlign w:val="subscript"/>
          <w:lang w:val="en-US" w:eastAsia="zh-CN"/>
        </w:rPr>
        <w:t>total</w:t>
      </w:r>
      <w:r>
        <w:rPr>
          <w:rFonts w:hint="eastAsia" w:eastAsia="宋体"/>
          <w:sz w:val="20"/>
          <w:szCs w:val="20"/>
          <w:lang w:val="en-US" w:eastAsia="zh-CN"/>
        </w:rPr>
        <w:t xml:space="preserve">) should not exceed SCS/2. </w:t>
      </w:r>
      <w:r>
        <w:rPr>
          <w:rFonts w:hint="default" w:ascii="Times New Roman" w:hAnsi="Times New Roman" w:eastAsia="宋体" w:cs="Times New Roman"/>
          <w:sz w:val="20"/>
          <w:szCs w:val="20"/>
          <w:lang w:val="en-US" w:eastAsia="zh-CN"/>
        </w:rPr>
        <w:t>Δ</w:t>
      </w:r>
      <w:r>
        <w:rPr>
          <w:rFonts w:hint="eastAsia" w:eastAsia="宋体" w:cs="Times New Roman"/>
          <w:sz w:val="20"/>
          <w:szCs w:val="20"/>
          <w:lang w:val="en-US" w:eastAsia="zh-CN"/>
        </w:rPr>
        <w:t>F</w:t>
      </w:r>
      <w:r>
        <w:rPr>
          <w:rFonts w:hint="eastAsia" w:eastAsia="宋体" w:cs="Times New Roman"/>
          <w:sz w:val="20"/>
          <w:szCs w:val="20"/>
          <w:vertAlign w:val="subscript"/>
          <w:lang w:val="en-US" w:eastAsia="zh-CN"/>
        </w:rPr>
        <w:t>total</w:t>
      </w:r>
      <w:r>
        <w:rPr>
          <w:rFonts w:hint="eastAsia" w:eastAsia="宋体"/>
          <w:sz w:val="20"/>
          <w:szCs w:val="20"/>
          <w:lang w:val="en-US" w:eastAsia="zh-CN"/>
        </w:rPr>
        <w:t>=2*</w:t>
      </w:r>
      <w:r>
        <w:rPr>
          <w:rFonts w:hint="default" w:ascii="Times New Roman" w:hAnsi="Times New Roman" w:eastAsia="宋体" w:cs="Times New Roman"/>
          <w:sz w:val="20"/>
          <w:szCs w:val="20"/>
          <w:lang w:val="en-US" w:eastAsia="zh-CN"/>
        </w:rPr>
        <w:t>Δ</w:t>
      </w:r>
      <w:r>
        <w:rPr>
          <w:rFonts w:hint="eastAsia" w:eastAsia="宋体" w:cs="Times New Roman"/>
          <w:sz w:val="20"/>
          <w:szCs w:val="20"/>
          <w:lang w:val="en-US" w:eastAsia="zh-CN"/>
        </w:rPr>
        <w:t>F</w:t>
      </w:r>
      <w:r>
        <w:rPr>
          <w:rFonts w:hint="eastAsia" w:eastAsia="宋体" w:cs="Times New Roman"/>
          <w:sz w:val="20"/>
          <w:szCs w:val="20"/>
          <w:vertAlign w:val="subscript"/>
          <w:lang w:val="en-US" w:eastAsia="zh-CN"/>
        </w:rPr>
        <w:t>BSlocation</w:t>
      </w:r>
      <w:r>
        <w:rPr>
          <w:rFonts w:hint="eastAsia" w:eastAsia="宋体" w:cs="Times New Roman"/>
          <w:sz w:val="20"/>
          <w:szCs w:val="20"/>
          <w:vertAlign w:val="baseline"/>
          <w:lang w:val="en-US" w:eastAsia="zh-CN"/>
        </w:rPr>
        <w:t>+</w:t>
      </w:r>
      <w:r>
        <w:rPr>
          <w:rFonts w:hint="default" w:ascii="Times New Roman" w:hAnsi="Times New Roman" w:eastAsia="宋体" w:cs="Times New Roman"/>
          <w:sz w:val="20"/>
          <w:szCs w:val="20"/>
          <w:lang w:val="en-US" w:eastAsia="zh-CN"/>
        </w:rPr>
        <w:t>Δ</w:t>
      </w:r>
      <w:r>
        <w:rPr>
          <w:rFonts w:hint="eastAsia" w:eastAsia="宋体" w:cs="Times New Roman"/>
          <w:sz w:val="20"/>
          <w:szCs w:val="20"/>
          <w:lang w:val="en-US" w:eastAsia="zh-CN"/>
        </w:rPr>
        <w:t>F</w:t>
      </w:r>
      <w:r>
        <w:rPr>
          <w:rFonts w:hint="eastAsia" w:eastAsia="宋体" w:cs="Times New Roman"/>
          <w:sz w:val="20"/>
          <w:szCs w:val="20"/>
          <w:vertAlign w:val="subscript"/>
          <w:lang w:val="en-US" w:eastAsia="zh-CN"/>
        </w:rPr>
        <w:t>residual</w:t>
      </w:r>
      <w:r>
        <w:rPr>
          <w:rFonts w:hint="eastAsia" w:eastAsia="宋体"/>
          <w:sz w:val="20"/>
          <w:szCs w:val="20"/>
          <w:lang w:val="en-US" w:eastAsia="zh-CN"/>
        </w:rPr>
        <w:t xml:space="preserve">, where </w:t>
      </w:r>
      <w:r>
        <w:rPr>
          <w:rFonts w:hint="default" w:ascii="Times New Roman" w:hAnsi="Times New Roman" w:eastAsia="宋体" w:cs="Times New Roman"/>
          <w:sz w:val="20"/>
          <w:szCs w:val="20"/>
          <w:lang w:val="en-US" w:eastAsia="zh-CN"/>
        </w:rPr>
        <w:t>Δ</w:t>
      </w:r>
      <w:r>
        <w:rPr>
          <w:rFonts w:hint="eastAsia" w:eastAsia="宋体" w:cs="Times New Roman"/>
          <w:sz w:val="20"/>
          <w:szCs w:val="20"/>
          <w:lang w:val="en-US" w:eastAsia="zh-CN"/>
        </w:rPr>
        <w:t>F</w:t>
      </w:r>
      <w:r>
        <w:rPr>
          <w:rFonts w:hint="eastAsia" w:eastAsia="宋体" w:cs="Times New Roman"/>
          <w:sz w:val="20"/>
          <w:szCs w:val="20"/>
          <w:vertAlign w:val="subscript"/>
          <w:lang w:val="en-US" w:eastAsia="zh-CN"/>
        </w:rPr>
        <w:t>residual</w:t>
      </w:r>
      <w:r>
        <w:rPr>
          <w:rFonts w:hint="eastAsia" w:eastAsia="宋体" w:cs="Times New Roman"/>
          <w:sz w:val="20"/>
          <w:szCs w:val="20"/>
          <w:vertAlign w:val="baseline"/>
          <w:lang w:val="en-US" w:eastAsia="zh-CN"/>
        </w:rPr>
        <w:t xml:space="preserve"> = 0.1ppm is the </w:t>
      </w:r>
      <w:r>
        <w:rPr>
          <w:rFonts w:hint="eastAsia" w:eastAsia="宋体"/>
          <w:sz w:val="20"/>
          <w:szCs w:val="20"/>
          <w:lang w:val="en-US" w:eastAsia="zh-CN"/>
        </w:rPr>
        <w:t xml:space="preserve">residual doppler after UE DL/UL frequency pre-compensation, and </w:t>
      </w:r>
      <w:r>
        <w:rPr>
          <w:rFonts w:hint="default" w:ascii="Times New Roman" w:hAnsi="Times New Roman" w:eastAsia="宋体" w:cs="Times New Roman"/>
          <w:sz w:val="20"/>
          <w:szCs w:val="20"/>
          <w:lang w:val="en-US" w:eastAsia="zh-CN"/>
        </w:rPr>
        <w:t>Δ</w:t>
      </w:r>
      <w:r>
        <w:rPr>
          <w:rFonts w:hint="eastAsia" w:eastAsia="宋体" w:cs="Times New Roman"/>
          <w:sz w:val="20"/>
          <w:szCs w:val="20"/>
          <w:lang w:val="en-US" w:eastAsia="zh-CN"/>
        </w:rPr>
        <w:t>F</w:t>
      </w:r>
      <w:r>
        <w:rPr>
          <w:rFonts w:hint="eastAsia" w:eastAsia="宋体" w:cs="Times New Roman"/>
          <w:sz w:val="20"/>
          <w:szCs w:val="20"/>
          <w:vertAlign w:val="subscript"/>
          <w:lang w:val="en-US" w:eastAsia="zh-CN"/>
        </w:rPr>
        <w:t>BSlocation</w:t>
      </w:r>
      <w:r>
        <w:rPr>
          <w:rFonts w:hint="eastAsia" w:eastAsia="宋体"/>
          <w:sz w:val="20"/>
          <w:szCs w:val="20"/>
          <w:lang w:val="en-US" w:eastAsia="zh-CN"/>
        </w:rPr>
        <w:t xml:space="preserve"> is the DL doppler calculation error introduced by indicated BS location error. For each SCS, the indicated BS location toleration is calculated as follows:</w:t>
      </w:r>
    </w:p>
    <w:tbl>
      <w:tblPr>
        <w:tblStyle w:val="20"/>
        <w:tblW w:w="0" w:type="auto"/>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800"/>
        <w:gridCol w:w="1572"/>
        <w:gridCol w:w="1983"/>
        <w:gridCol w:w="3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autoSpaceDN w:val="0"/>
              <w:spacing w:before="60"/>
              <w:jc w:val="both"/>
              <w:rPr>
                <w:rFonts w:hint="default" w:eastAsia="宋体"/>
                <w:sz w:val="20"/>
                <w:szCs w:val="20"/>
                <w:vertAlign w:val="baseline"/>
                <w:lang w:val="en-US" w:eastAsia="zh-CN"/>
              </w:rPr>
            </w:pPr>
            <w:r>
              <w:rPr>
                <w:rFonts w:hint="eastAsia" w:eastAsia="宋体"/>
                <w:sz w:val="20"/>
                <w:szCs w:val="20"/>
                <w:vertAlign w:val="baseline"/>
                <w:lang w:val="en-US" w:eastAsia="zh-CN"/>
              </w:rPr>
              <w:t>SCS</w:t>
            </w:r>
          </w:p>
        </w:tc>
        <w:tc>
          <w:tcPr>
            <w:tcW w:w="800" w:type="dxa"/>
          </w:tcPr>
          <w:p>
            <w:pPr>
              <w:autoSpaceDN w:val="0"/>
              <w:spacing w:before="60"/>
              <w:jc w:val="both"/>
              <w:rPr>
                <w:rFonts w:hint="default" w:eastAsia="宋体"/>
                <w:sz w:val="20"/>
                <w:szCs w:val="20"/>
                <w:vertAlign w:val="baseline"/>
                <w:lang w:val="en-US" w:eastAsia="zh-CN"/>
              </w:rPr>
            </w:pPr>
            <w:r>
              <w:rPr>
                <w:rFonts w:hint="default" w:ascii="Times New Roman" w:hAnsi="Times New Roman" w:eastAsia="宋体" w:cs="Times New Roman"/>
                <w:sz w:val="20"/>
                <w:szCs w:val="20"/>
                <w:lang w:val="en-US" w:eastAsia="zh-CN"/>
              </w:rPr>
              <w:t>Δ</w:t>
            </w:r>
            <w:r>
              <w:rPr>
                <w:rFonts w:hint="eastAsia" w:eastAsia="宋体" w:cs="Times New Roman"/>
                <w:sz w:val="20"/>
                <w:szCs w:val="20"/>
                <w:lang w:val="en-US" w:eastAsia="zh-CN"/>
              </w:rPr>
              <w:t>F</w:t>
            </w:r>
            <w:r>
              <w:rPr>
                <w:rFonts w:hint="eastAsia" w:eastAsia="宋体" w:cs="Times New Roman"/>
                <w:sz w:val="20"/>
                <w:szCs w:val="20"/>
                <w:vertAlign w:val="subscript"/>
                <w:lang w:val="en-US" w:eastAsia="zh-CN"/>
              </w:rPr>
              <w:t>total</w:t>
            </w:r>
          </w:p>
        </w:tc>
        <w:tc>
          <w:tcPr>
            <w:tcW w:w="1572" w:type="dxa"/>
          </w:tcPr>
          <w:p>
            <w:pPr>
              <w:autoSpaceDN w:val="0"/>
              <w:spacing w:before="60"/>
              <w:jc w:val="both"/>
              <w:rPr>
                <w:rFonts w:hint="default" w:eastAsia="宋体"/>
                <w:sz w:val="20"/>
                <w:szCs w:val="20"/>
                <w:vertAlign w:val="baseline"/>
                <w:lang w:val="en-US" w:eastAsia="zh-CN"/>
              </w:rPr>
            </w:pPr>
            <w:r>
              <w:rPr>
                <w:rFonts w:hint="default" w:ascii="Times New Roman" w:hAnsi="Times New Roman" w:eastAsia="宋体" w:cs="Times New Roman"/>
                <w:sz w:val="20"/>
                <w:szCs w:val="20"/>
                <w:lang w:val="en-US" w:eastAsia="zh-CN"/>
              </w:rPr>
              <w:t>Δ</w:t>
            </w:r>
            <w:r>
              <w:rPr>
                <w:rFonts w:hint="eastAsia" w:eastAsia="宋体" w:cs="Times New Roman"/>
                <w:sz w:val="20"/>
                <w:szCs w:val="20"/>
                <w:lang w:val="en-US" w:eastAsia="zh-CN"/>
              </w:rPr>
              <w:t>F</w:t>
            </w:r>
            <w:r>
              <w:rPr>
                <w:rFonts w:hint="eastAsia" w:eastAsia="宋体" w:cs="Times New Roman"/>
                <w:sz w:val="20"/>
                <w:szCs w:val="20"/>
                <w:vertAlign w:val="subscript"/>
                <w:lang w:val="en-US" w:eastAsia="zh-CN"/>
              </w:rPr>
              <w:t>residual</w:t>
            </w:r>
          </w:p>
        </w:tc>
        <w:tc>
          <w:tcPr>
            <w:tcW w:w="1983" w:type="dxa"/>
          </w:tcPr>
          <w:p>
            <w:pPr>
              <w:autoSpaceDN w:val="0"/>
              <w:spacing w:before="60"/>
              <w:jc w:val="both"/>
              <w:rPr>
                <w:rFonts w:hint="default" w:eastAsia="宋体"/>
                <w:sz w:val="20"/>
                <w:szCs w:val="20"/>
                <w:vertAlign w:val="baseline"/>
                <w:lang w:val="en-US" w:eastAsia="zh-CN"/>
              </w:rPr>
            </w:pPr>
            <w:r>
              <w:rPr>
                <w:rFonts w:hint="default" w:ascii="Times New Roman" w:hAnsi="Times New Roman" w:eastAsia="宋体" w:cs="Times New Roman"/>
                <w:sz w:val="20"/>
                <w:szCs w:val="20"/>
                <w:lang w:val="en-US" w:eastAsia="zh-CN"/>
              </w:rPr>
              <w:t>Δ</w:t>
            </w:r>
            <w:r>
              <w:rPr>
                <w:rFonts w:hint="eastAsia" w:eastAsia="宋体" w:cs="Times New Roman"/>
                <w:sz w:val="20"/>
                <w:szCs w:val="20"/>
                <w:lang w:val="en-US" w:eastAsia="zh-CN"/>
              </w:rPr>
              <w:t>F</w:t>
            </w:r>
            <w:r>
              <w:rPr>
                <w:rFonts w:hint="eastAsia" w:eastAsia="宋体" w:cs="Times New Roman"/>
                <w:sz w:val="20"/>
                <w:szCs w:val="20"/>
                <w:vertAlign w:val="subscript"/>
                <w:lang w:val="en-US" w:eastAsia="zh-CN"/>
              </w:rPr>
              <w:t>BSlocation</w:t>
            </w:r>
          </w:p>
        </w:tc>
        <w:tc>
          <w:tcPr>
            <w:tcW w:w="3837" w:type="dxa"/>
          </w:tcPr>
          <w:p>
            <w:pPr>
              <w:autoSpaceDN w:val="0"/>
              <w:spacing w:before="60"/>
              <w:jc w:val="both"/>
              <w:rPr>
                <w:rFonts w:hint="eastAsia" w:eastAsia="宋体"/>
                <w:sz w:val="20"/>
                <w:szCs w:val="20"/>
                <w:vertAlign w:val="baseline"/>
                <w:lang w:val="en-US" w:eastAsia="zh-CN"/>
              </w:rPr>
            </w:pPr>
            <w:r>
              <w:rPr>
                <w:rFonts w:hint="eastAsia" w:eastAsia="宋体"/>
                <w:sz w:val="20"/>
                <w:szCs w:val="20"/>
                <w:vertAlign w:val="baseline"/>
                <w:lang w:val="en-US" w:eastAsia="zh-CN"/>
              </w:rPr>
              <w:t xml:space="preserve">Minimum location error tolerated </w:t>
            </w:r>
          </w:p>
          <w:p>
            <w:pPr>
              <w:autoSpaceDN w:val="0"/>
              <w:spacing w:before="60"/>
              <w:jc w:val="both"/>
              <w:rPr>
                <w:rFonts w:hint="default" w:eastAsia="宋体"/>
                <w:sz w:val="20"/>
                <w:szCs w:val="20"/>
                <w:vertAlign w:val="baseline"/>
                <w:lang w:val="en-US" w:eastAsia="zh-CN"/>
              </w:rPr>
            </w:pPr>
            <w:r>
              <w:rPr>
                <w:rFonts w:hint="eastAsia" w:eastAsia="宋体"/>
                <w:sz w:val="20"/>
                <w:szCs w:val="20"/>
                <w:vertAlign w:val="baseline"/>
                <w:lang w:val="en-US" w:eastAsia="zh-CN"/>
              </w:rPr>
              <w:t>(UE 3km height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56" w:type="dxa"/>
          </w:tcPr>
          <w:p>
            <w:pPr>
              <w:autoSpaceDN w:val="0"/>
              <w:spacing w:before="60"/>
              <w:jc w:val="both"/>
              <w:rPr>
                <w:rFonts w:hint="default" w:eastAsia="宋体"/>
                <w:sz w:val="20"/>
                <w:szCs w:val="20"/>
                <w:vertAlign w:val="baseline"/>
                <w:lang w:val="en-US" w:eastAsia="zh-CN"/>
              </w:rPr>
            </w:pPr>
            <w:r>
              <w:rPr>
                <w:rFonts w:hint="eastAsia" w:eastAsia="宋体"/>
                <w:sz w:val="20"/>
                <w:szCs w:val="20"/>
                <w:vertAlign w:val="baseline"/>
                <w:lang w:val="en-US" w:eastAsia="zh-CN"/>
              </w:rPr>
              <w:t>15kHz</w:t>
            </w:r>
          </w:p>
        </w:tc>
        <w:tc>
          <w:tcPr>
            <w:tcW w:w="800" w:type="dxa"/>
          </w:tcPr>
          <w:p>
            <w:pPr>
              <w:autoSpaceDN w:val="0"/>
              <w:spacing w:before="60"/>
              <w:jc w:val="both"/>
              <w:rPr>
                <w:rFonts w:hint="default" w:eastAsia="宋体"/>
                <w:sz w:val="20"/>
                <w:szCs w:val="20"/>
                <w:vertAlign w:val="baseline"/>
                <w:lang w:val="en-US" w:eastAsia="zh-CN"/>
              </w:rPr>
            </w:pPr>
            <w:r>
              <w:rPr>
                <w:rFonts w:hint="eastAsia" w:eastAsia="宋体"/>
                <w:sz w:val="20"/>
                <w:szCs w:val="20"/>
                <w:vertAlign w:val="baseline"/>
                <w:lang w:val="en-US" w:eastAsia="zh-CN"/>
              </w:rPr>
              <w:t>7.5kHz</w:t>
            </w:r>
          </w:p>
        </w:tc>
        <w:tc>
          <w:tcPr>
            <w:tcW w:w="1572" w:type="dxa"/>
          </w:tcPr>
          <w:p>
            <w:pPr>
              <w:autoSpaceDN w:val="0"/>
              <w:spacing w:before="60"/>
              <w:jc w:val="both"/>
              <w:rPr>
                <w:rFonts w:hint="default" w:eastAsia="宋体"/>
                <w:sz w:val="20"/>
                <w:szCs w:val="20"/>
                <w:vertAlign w:val="baseline"/>
                <w:lang w:val="en-US" w:eastAsia="zh-CN"/>
              </w:rPr>
            </w:pPr>
            <w:r>
              <w:rPr>
                <w:rFonts w:hint="eastAsia" w:eastAsia="宋体"/>
                <w:sz w:val="20"/>
                <w:szCs w:val="20"/>
                <w:vertAlign w:val="baseline"/>
                <w:lang w:val="en-US" w:eastAsia="zh-CN"/>
              </w:rPr>
              <w:t>200Hz for 2GHz</w:t>
            </w:r>
          </w:p>
        </w:tc>
        <w:tc>
          <w:tcPr>
            <w:tcW w:w="1983" w:type="dxa"/>
          </w:tcPr>
          <w:p>
            <w:pPr>
              <w:autoSpaceDN w:val="0"/>
              <w:spacing w:before="60"/>
              <w:jc w:val="both"/>
              <w:rPr>
                <w:rFonts w:hint="default" w:eastAsia="宋体"/>
                <w:sz w:val="20"/>
                <w:szCs w:val="20"/>
                <w:vertAlign w:val="baseline"/>
                <w:lang w:val="en-US" w:eastAsia="zh-CN"/>
              </w:rPr>
            </w:pPr>
            <w:r>
              <w:rPr>
                <w:rFonts w:hint="eastAsia" w:eastAsia="宋体"/>
                <w:sz w:val="20"/>
                <w:szCs w:val="20"/>
                <w:vertAlign w:val="baseline"/>
                <w:lang w:val="en-US" w:eastAsia="zh-CN"/>
              </w:rPr>
              <w:t>(7.5-0.2)/2=3.65kHz</w:t>
            </w:r>
          </w:p>
        </w:tc>
        <w:tc>
          <w:tcPr>
            <w:tcW w:w="3837" w:type="dxa"/>
          </w:tcPr>
          <w:p>
            <w:pPr>
              <w:autoSpaceDN w:val="0"/>
              <w:spacing w:before="60"/>
              <w:jc w:val="both"/>
              <w:rPr>
                <w:rFonts w:hint="default" w:eastAsia="宋体"/>
                <w:sz w:val="20"/>
                <w:szCs w:val="20"/>
                <w:vertAlign w:val="baseline"/>
                <w:lang w:val="en-US" w:eastAsia="zh-CN"/>
              </w:rPr>
            </w:pPr>
            <w:r>
              <w:rPr>
                <w:rFonts w:hint="eastAsia" w:eastAsia="宋体"/>
                <w:sz w:val="20"/>
                <w:szCs w:val="20"/>
                <w:vertAlign w:val="baseline"/>
                <w:lang w:val="en-US" w:eastAsia="zh-CN"/>
              </w:rPr>
              <w:t>15km for sub-array antenna</w:t>
            </w:r>
          </w:p>
          <w:p>
            <w:pPr>
              <w:autoSpaceDN w:val="0"/>
              <w:spacing w:before="60"/>
              <w:jc w:val="both"/>
              <w:rPr>
                <w:rFonts w:hint="default" w:eastAsia="宋体"/>
                <w:sz w:val="20"/>
                <w:szCs w:val="20"/>
                <w:vertAlign w:val="baseline"/>
                <w:lang w:val="en-US" w:eastAsia="zh-CN"/>
              </w:rPr>
            </w:pPr>
            <w:r>
              <w:rPr>
                <w:rFonts w:hint="eastAsia" w:eastAsia="宋体"/>
                <w:sz w:val="20"/>
                <w:szCs w:val="20"/>
                <w:vertAlign w:val="baseline"/>
                <w:lang w:val="en-US" w:eastAsia="zh-CN"/>
              </w:rPr>
              <w:t>6km for non-sub-array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autoSpaceDN w:val="0"/>
              <w:spacing w:before="60"/>
              <w:jc w:val="both"/>
              <w:rPr>
                <w:rFonts w:hint="default" w:eastAsia="宋体"/>
                <w:sz w:val="20"/>
                <w:szCs w:val="20"/>
                <w:vertAlign w:val="baseline"/>
                <w:lang w:val="en-US" w:eastAsia="zh-CN"/>
              </w:rPr>
            </w:pPr>
            <w:r>
              <w:rPr>
                <w:rFonts w:hint="eastAsia" w:eastAsia="宋体"/>
                <w:sz w:val="20"/>
                <w:szCs w:val="20"/>
                <w:vertAlign w:val="baseline"/>
                <w:lang w:val="en-US" w:eastAsia="zh-CN"/>
              </w:rPr>
              <w:t>30kHz</w:t>
            </w:r>
          </w:p>
        </w:tc>
        <w:tc>
          <w:tcPr>
            <w:tcW w:w="800" w:type="dxa"/>
          </w:tcPr>
          <w:p>
            <w:pPr>
              <w:autoSpaceDN w:val="0"/>
              <w:spacing w:before="60"/>
              <w:jc w:val="both"/>
              <w:rPr>
                <w:rFonts w:hint="default" w:eastAsia="宋体"/>
                <w:sz w:val="20"/>
                <w:szCs w:val="20"/>
                <w:vertAlign w:val="baseline"/>
                <w:lang w:val="en-US" w:eastAsia="zh-CN"/>
              </w:rPr>
            </w:pPr>
            <w:r>
              <w:rPr>
                <w:rFonts w:hint="eastAsia" w:eastAsia="宋体"/>
                <w:sz w:val="20"/>
                <w:szCs w:val="20"/>
                <w:vertAlign w:val="baseline"/>
                <w:lang w:val="en-US" w:eastAsia="zh-CN"/>
              </w:rPr>
              <w:t>15kHz</w:t>
            </w:r>
          </w:p>
        </w:tc>
        <w:tc>
          <w:tcPr>
            <w:tcW w:w="1572" w:type="dxa"/>
          </w:tcPr>
          <w:p>
            <w:pPr>
              <w:autoSpaceDN w:val="0"/>
              <w:spacing w:before="60"/>
              <w:jc w:val="both"/>
              <w:rPr>
                <w:rFonts w:hint="default" w:eastAsia="宋体"/>
                <w:sz w:val="20"/>
                <w:szCs w:val="20"/>
                <w:vertAlign w:val="baseline"/>
                <w:lang w:val="en-US" w:eastAsia="zh-CN"/>
              </w:rPr>
            </w:pPr>
            <w:r>
              <w:rPr>
                <w:rFonts w:hint="eastAsia" w:eastAsia="宋体"/>
                <w:sz w:val="20"/>
                <w:szCs w:val="20"/>
                <w:vertAlign w:val="baseline"/>
                <w:lang w:val="en-US" w:eastAsia="zh-CN"/>
              </w:rPr>
              <w:t>400Hz for 4GHz</w:t>
            </w:r>
          </w:p>
        </w:tc>
        <w:tc>
          <w:tcPr>
            <w:tcW w:w="1983" w:type="dxa"/>
          </w:tcPr>
          <w:p>
            <w:pPr>
              <w:autoSpaceDN w:val="0"/>
              <w:spacing w:before="60"/>
              <w:jc w:val="both"/>
              <w:rPr>
                <w:rFonts w:hint="default" w:eastAsia="宋体"/>
                <w:sz w:val="20"/>
                <w:szCs w:val="20"/>
                <w:vertAlign w:val="baseline"/>
                <w:lang w:val="en-US" w:eastAsia="zh-CN"/>
              </w:rPr>
            </w:pPr>
            <w:r>
              <w:rPr>
                <w:rFonts w:hint="eastAsia" w:eastAsia="宋体"/>
                <w:sz w:val="20"/>
                <w:szCs w:val="20"/>
                <w:vertAlign w:val="baseline"/>
                <w:lang w:val="en-US" w:eastAsia="zh-CN"/>
              </w:rPr>
              <w:t>(15-0.4)/2=7.3kHz</w:t>
            </w:r>
          </w:p>
        </w:tc>
        <w:tc>
          <w:tcPr>
            <w:tcW w:w="3837" w:type="dxa"/>
          </w:tcPr>
          <w:p>
            <w:pPr>
              <w:autoSpaceDN w:val="0"/>
              <w:spacing w:before="60"/>
              <w:jc w:val="both"/>
              <w:rPr>
                <w:rFonts w:hint="default" w:eastAsia="宋体"/>
                <w:sz w:val="20"/>
                <w:szCs w:val="20"/>
                <w:vertAlign w:val="baseline"/>
                <w:lang w:val="en-US" w:eastAsia="zh-CN"/>
              </w:rPr>
            </w:pPr>
            <w:r>
              <w:rPr>
                <w:rFonts w:hint="eastAsia" w:eastAsia="宋体"/>
                <w:sz w:val="20"/>
                <w:szCs w:val="20"/>
                <w:vertAlign w:val="baseline"/>
                <w:lang w:val="en-US" w:eastAsia="zh-CN"/>
              </w:rPr>
              <w:t>15km for sub-array antenna</w:t>
            </w:r>
          </w:p>
          <w:p>
            <w:pPr>
              <w:autoSpaceDN w:val="0"/>
              <w:spacing w:before="60"/>
              <w:jc w:val="both"/>
              <w:rPr>
                <w:rFonts w:hint="default" w:eastAsia="宋体"/>
                <w:sz w:val="20"/>
                <w:szCs w:val="20"/>
                <w:vertAlign w:val="baseline"/>
                <w:lang w:val="en-US" w:eastAsia="zh-CN"/>
              </w:rPr>
            </w:pPr>
            <w:r>
              <w:rPr>
                <w:rFonts w:hint="eastAsia" w:eastAsia="宋体"/>
                <w:sz w:val="20"/>
                <w:szCs w:val="20"/>
                <w:vertAlign w:val="baseline"/>
                <w:lang w:val="en-US" w:eastAsia="zh-CN"/>
              </w:rPr>
              <w:t>6km for non-sub-array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pPr>
              <w:autoSpaceDN w:val="0"/>
              <w:spacing w:before="60"/>
              <w:jc w:val="both"/>
              <w:rPr>
                <w:rFonts w:hint="eastAsia" w:eastAsia="宋体"/>
                <w:sz w:val="20"/>
                <w:szCs w:val="20"/>
                <w:vertAlign w:val="baseline"/>
                <w:lang w:val="en-US" w:eastAsia="zh-CN"/>
              </w:rPr>
            </w:pPr>
            <w:r>
              <w:rPr>
                <w:rFonts w:hint="eastAsia" w:eastAsia="宋体"/>
                <w:sz w:val="20"/>
                <w:szCs w:val="20"/>
                <w:vertAlign w:val="baseline"/>
                <w:lang w:val="en-US" w:eastAsia="zh-CN"/>
              </w:rPr>
              <w:t xml:space="preserve">1.25kHz </w:t>
            </w:r>
          </w:p>
          <w:p>
            <w:pPr>
              <w:autoSpaceDN w:val="0"/>
              <w:spacing w:before="60"/>
              <w:jc w:val="both"/>
              <w:rPr>
                <w:rFonts w:hint="default" w:eastAsia="宋体"/>
                <w:sz w:val="20"/>
                <w:szCs w:val="20"/>
                <w:vertAlign w:val="baseline"/>
                <w:lang w:val="en-US" w:eastAsia="zh-CN"/>
              </w:rPr>
            </w:pPr>
            <w:r>
              <w:rPr>
                <w:rFonts w:hint="eastAsia" w:eastAsia="宋体"/>
                <w:sz w:val="20"/>
                <w:szCs w:val="20"/>
                <w:vertAlign w:val="baseline"/>
                <w:lang w:val="en-US" w:eastAsia="zh-CN"/>
              </w:rPr>
              <w:t>(long PRACH format)</w:t>
            </w:r>
          </w:p>
        </w:tc>
        <w:tc>
          <w:tcPr>
            <w:tcW w:w="800" w:type="dxa"/>
          </w:tcPr>
          <w:p>
            <w:pPr>
              <w:autoSpaceDN w:val="0"/>
              <w:spacing w:before="60"/>
              <w:jc w:val="both"/>
              <w:rPr>
                <w:rFonts w:hint="default" w:eastAsia="宋体"/>
                <w:sz w:val="20"/>
                <w:szCs w:val="20"/>
                <w:vertAlign w:val="baseline"/>
                <w:lang w:val="en-US" w:eastAsia="zh-CN"/>
              </w:rPr>
            </w:pPr>
            <w:r>
              <w:rPr>
                <w:rFonts w:hint="eastAsia" w:eastAsia="宋体"/>
                <w:sz w:val="20"/>
                <w:szCs w:val="20"/>
                <w:vertAlign w:val="baseline"/>
                <w:lang w:val="en-US" w:eastAsia="zh-CN"/>
              </w:rPr>
              <w:t>625Hz</w:t>
            </w:r>
          </w:p>
        </w:tc>
        <w:tc>
          <w:tcPr>
            <w:tcW w:w="1572" w:type="dxa"/>
          </w:tcPr>
          <w:p>
            <w:pPr>
              <w:autoSpaceDN w:val="0"/>
              <w:spacing w:before="60"/>
              <w:jc w:val="both"/>
              <w:rPr>
                <w:rFonts w:hint="eastAsia" w:eastAsia="宋体"/>
                <w:sz w:val="20"/>
                <w:szCs w:val="20"/>
                <w:vertAlign w:val="baseline"/>
                <w:lang w:val="en-US" w:eastAsia="zh-CN"/>
              </w:rPr>
            </w:pPr>
            <w:r>
              <w:rPr>
                <w:rFonts w:hint="eastAsia" w:eastAsia="宋体"/>
                <w:sz w:val="20"/>
                <w:szCs w:val="20"/>
                <w:vertAlign w:val="baseline"/>
                <w:lang w:val="en-US" w:eastAsia="zh-CN"/>
              </w:rPr>
              <w:t>200Hz for 2GHz</w:t>
            </w:r>
          </w:p>
          <w:p>
            <w:pPr>
              <w:autoSpaceDN w:val="0"/>
              <w:spacing w:before="60"/>
              <w:jc w:val="both"/>
              <w:rPr>
                <w:rFonts w:hint="eastAsia" w:eastAsia="宋体"/>
                <w:sz w:val="20"/>
                <w:szCs w:val="20"/>
                <w:vertAlign w:val="baseline"/>
                <w:lang w:val="en-US" w:eastAsia="zh-CN"/>
              </w:rPr>
            </w:pPr>
            <w:r>
              <w:rPr>
                <w:rFonts w:hint="eastAsia" w:eastAsia="宋体"/>
                <w:sz w:val="20"/>
                <w:szCs w:val="20"/>
                <w:vertAlign w:val="baseline"/>
                <w:lang w:val="en-US" w:eastAsia="zh-CN"/>
              </w:rPr>
              <w:t xml:space="preserve">and </w:t>
            </w:r>
          </w:p>
          <w:p>
            <w:pPr>
              <w:autoSpaceDN w:val="0"/>
              <w:spacing w:before="60"/>
              <w:jc w:val="both"/>
              <w:rPr>
                <w:rFonts w:hint="default" w:eastAsia="宋体"/>
                <w:sz w:val="20"/>
                <w:szCs w:val="20"/>
                <w:vertAlign w:val="baseline"/>
                <w:lang w:val="en-US" w:eastAsia="zh-CN"/>
              </w:rPr>
            </w:pPr>
            <w:r>
              <w:rPr>
                <w:rFonts w:hint="eastAsia" w:eastAsia="宋体"/>
                <w:sz w:val="20"/>
                <w:szCs w:val="20"/>
                <w:vertAlign w:val="baseline"/>
                <w:lang w:val="en-US" w:eastAsia="zh-CN"/>
              </w:rPr>
              <w:t>400Hz for 4GHz</w:t>
            </w:r>
          </w:p>
        </w:tc>
        <w:tc>
          <w:tcPr>
            <w:tcW w:w="1983" w:type="dxa"/>
          </w:tcPr>
          <w:p>
            <w:pPr>
              <w:autoSpaceDN w:val="0"/>
              <w:spacing w:before="60"/>
              <w:jc w:val="both"/>
              <w:rPr>
                <w:rFonts w:hint="eastAsia" w:eastAsia="宋体"/>
                <w:sz w:val="20"/>
                <w:szCs w:val="20"/>
                <w:vertAlign w:val="baseline"/>
                <w:lang w:val="en-US" w:eastAsia="zh-CN"/>
              </w:rPr>
            </w:pPr>
            <w:r>
              <w:rPr>
                <w:rFonts w:hint="eastAsia" w:eastAsia="宋体"/>
                <w:sz w:val="20"/>
                <w:szCs w:val="20"/>
                <w:vertAlign w:val="baseline"/>
                <w:lang w:val="en-US" w:eastAsia="zh-CN"/>
              </w:rPr>
              <w:t>(625-200)/2=212.5Hz</w:t>
            </w:r>
          </w:p>
          <w:p>
            <w:pPr>
              <w:autoSpaceDN w:val="0"/>
              <w:spacing w:before="60"/>
              <w:jc w:val="both"/>
              <w:rPr>
                <w:rFonts w:hint="default" w:eastAsia="宋体"/>
                <w:sz w:val="20"/>
                <w:szCs w:val="20"/>
                <w:vertAlign w:val="baseline"/>
                <w:lang w:val="en-US" w:eastAsia="zh-CN"/>
              </w:rPr>
            </w:pPr>
            <w:r>
              <w:rPr>
                <w:rFonts w:hint="eastAsia" w:eastAsia="宋体"/>
                <w:sz w:val="20"/>
                <w:szCs w:val="20"/>
                <w:vertAlign w:val="baseline"/>
                <w:lang w:val="en-US" w:eastAsia="zh-CN"/>
              </w:rPr>
              <w:t>(625-400)/2=112.5Hz</w:t>
            </w:r>
          </w:p>
        </w:tc>
        <w:tc>
          <w:tcPr>
            <w:tcW w:w="3837" w:type="dxa"/>
          </w:tcPr>
          <w:p>
            <w:pPr>
              <w:autoSpaceDN w:val="0"/>
              <w:spacing w:before="60"/>
              <w:jc w:val="both"/>
              <w:rPr>
                <w:rFonts w:hint="eastAsia" w:eastAsia="宋体"/>
                <w:sz w:val="20"/>
                <w:szCs w:val="20"/>
                <w:vertAlign w:val="baseline"/>
                <w:lang w:val="en-US" w:eastAsia="zh-CN"/>
              </w:rPr>
            </w:pPr>
            <w:r>
              <w:rPr>
                <w:rFonts w:hint="eastAsia" w:eastAsia="宋体"/>
                <w:sz w:val="20"/>
                <w:szCs w:val="20"/>
                <w:vertAlign w:val="baseline"/>
                <w:lang w:val="en-US" w:eastAsia="zh-CN"/>
              </w:rPr>
              <w:t>9.32km for sub-array antenna 2GHz</w:t>
            </w:r>
          </w:p>
          <w:p>
            <w:pPr>
              <w:autoSpaceDN w:val="0"/>
              <w:spacing w:before="60"/>
              <w:jc w:val="both"/>
              <w:rPr>
                <w:rFonts w:hint="eastAsia" w:eastAsia="宋体"/>
                <w:sz w:val="20"/>
                <w:szCs w:val="20"/>
                <w:vertAlign w:val="baseline"/>
                <w:lang w:val="en-US" w:eastAsia="zh-CN"/>
              </w:rPr>
            </w:pPr>
            <w:r>
              <w:rPr>
                <w:rFonts w:hint="eastAsia" w:eastAsia="宋体"/>
                <w:sz w:val="20"/>
                <w:szCs w:val="20"/>
                <w:vertAlign w:val="baseline"/>
                <w:lang w:val="en-US" w:eastAsia="zh-CN"/>
              </w:rPr>
              <w:t>7.3km for sub-array antenna 4GHz</w:t>
            </w:r>
          </w:p>
          <w:p>
            <w:pPr>
              <w:autoSpaceDN w:val="0"/>
              <w:spacing w:before="60"/>
              <w:jc w:val="both"/>
              <w:rPr>
                <w:rFonts w:hint="eastAsia" w:eastAsia="宋体"/>
                <w:sz w:val="20"/>
                <w:szCs w:val="20"/>
                <w:vertAlign w:val="baseline"/>
                <w:lang w:val="en-US" w:eastAsia="zh-CN"/>
              </w:rPr>
            </w:pPr>
            <w:r>
              <w:rPr>
                <w:rFonts w:hint="eastAsia" w:eastAsia="宋体"/>
                <w:sz w:val="20"/>
                <w:szCs w:val="20"/>
                <w:vertAlign w:val="baseline"/>
                <w:lang w:val="en-US" w:eastAsia="zh-CN"/>
              </w:rPr>
              <w:t>2km for non-sub-array antenna 2GHz</w:t>
            </w:r>
          </w:p>
          <w:p>
            <w:pPr>
              <w:autoSpaceDN w:val="0"/>
              <w:spacing w:before="60"/>
              <w:jc w:val="both"/>
              <w:rPr>
                <w:rFonts w:hint="default" w:eastAsia="宋体"/>
                <w:sz w:val="20"/>
                <w:szCs w:val="20"/>
                <w:vertAlign w:val="baseline"/>
                <w:lang w:val="en-US" w:eastAsia="zh-CN"/>
              </w:rPr>
            </w:pPr>
            <w:r>
              <w:rPr>
                <w:rFonts w:hint="eastAsia" w:eastAsia="宋体"/>
                <w:sz w:val="20"/>
                <w:szCs w:val="20"/>
                <w:vertAlign w:val="baseline"/>
                <w:lang w:val="en-US" w:eastAsia="zh-CN"/>
              </w:rPr>
              <w:t>0.72km for non-sub-array antenna 4GHz</w:t>
            </w:r>
          </w:p>
        </w:tc>
      </w:tr>
    </w:tbl>
    <w:p>
      <w:pPr>
        <w:autoSpaceDN w:val="0"/>
        <w:spacing w:before="60"/>
        <w:jc w:val="both"/>
        <w:rPr>
          <w:rFonts w:hint="default" w:eastAsia="宋体"/>
          <w:b/>
          <w:bCs/>
          <w:i/>
          <w:iCs/>
          <w:sz w:val="20"/>
          <w:szCs w:val="20"/>
          <w:lang w:val="en-US" w:eastAsia="zh-CN"/>
        </w:rPr>
      </w:pPr>
      <w:r>
        <w:rPr>
          <w:rFonts w:hint="eastAsia" w:eastAsia="宋体"/>
          <w:b/>
          <w:bCs/>
          <w:i/>
          <w:iCs/>
          <w:sz w:val="20"/>
          <w:szCs w:val="20"/>
          <w:lang w:val="en-US" w:eastAsia="zh-CN"/>
        </w:rPr>
        <w:t>Observation 1: From the perspective of frequency error:</w:t>
      </w:r>
    </w:p>
    <w:p>
      <w:pPr>
        <w:numPr>
          <w:ilvl w:val="0"/>
          <w:numId w:val="5"/>
        </w:numPr>
        <w:autoSpaceDN w:val="0"/>
        <w:spacing w:before="60"/>
        <w:ind w:left="420" w:leftChars="0" w:hanging="420" w:firstLineChars="0"/>
        <w:jc w:val="both"/>
        <w:rPr>
          <w:rFonts w:hint="eastAsia" w:eastAsia="宋体"/>
          <w:b/>
          <w:bCs/>
          <w:i/>
          <w:iCs/>
          <w:sz w:val="20"/>
          <w:szCs w:val="20"/>
          <w:lang w:val="en-US" w:eastAsia="zh-CN"/>
        </w:rPr>
      </w:pPr>
      <w:r>
        <w:rPr>
          <w:rFonts w:hint="eastAsia" w:eastAsia="宋体"/>
          <w:b/>
          <w:bCs/>
          <w:i/>
          <w:iCs/>
          <w:sz w:val="20"/>
          <w:szCs w:val="20"/>
          <w:lang w:val="en-US" w:eastAsia="zh-CN"/>
        </w:rPr>
        <w:t>for the case of long PRACH format and non-sub-array antenna, the error of indicated BS location should be within 2km for 2GHz, and 0.72km for 4GHz.</w:t>
      </w:r>
    </w:p>
    <w:p>
      <w:pPr>
        <w:numPr>
          <w:ilvl w:val="0"/>
          <w:numId w:val="5"/>
        </w:numPr>
        <w:autoSpaceDN w:val="0"/>
        <w:spacing w:before="60"/>
        <w:ind w:left="420" w:leftChars="0" w:hanging="420" w:firstLineChars="0"/>
        <w:jc w:val="both"/>
        <w:rPr>
          <w:rFonts w:hint="eastAsia" w:eastAsia="宋体"/>
          <w:b/>
          <w:bCs/>
          <w:i/>
          <w:iCs/>
          <w:sz w:val="20"/>
          <w:szCs w:val="20"/>
          <w:lang w:val="en-US" w:eastAsia="zh-CN"/>
        </w:rPr>
      </w:pPr>
      <w:r>
        <w:rPr>
          <w:rFonts w:hint="eastAsia" w:eastAsia="宋体"/>
          <w:b/>
          <w:bCs/>
          <w:i/>
          <w:iCs/>
          <w:sz w:val="20"/>
          <w:szCs w:val="20"/>
          <w:lang w:val="en-US" w:eastAsia="zh-CN"/>
        </w:rPr>
        <w:t>for the case of long PRACH format and sub-array antenna, the error of indicated BS location should be within 9.32km for 2GHz, and 2km for 4GHz.</w:t>
      </w:r>
    </w:p>
    <w:p>
      <w:pPr>
        <w:autoSpaceDN w:val="0"/>
        <w:spacing w:before="60"/>
        <w:jc w:val="both"/>
        <w:rPr>
          <w:rFonts w:hint="eastAsia" w:eastAsia="宋体"/>
          <w:b/>
          <w:bCs/>
          <w:i/>
          <w:iCs/>
          <w:sz w:val="20"/>
          <w:szCs w:val="20"/>
          <w:lang w:val="en-US" w:eastAsia="zh-CN"/>
        </w:rPr>
      </w:pPr>
      <w:r>
        <w:rPr>
          <w:rFonts w:hint="eastAsia" w:eastAsia="宋体"/>
          <w:b/>
          <w:bCs/>
          <w:i/>
          <w:iCs/>
          <w:sz w:val="20"/>
          <w:szCs w:val="20"/>
          <w:lang w:val="en-US" w:eastAsia="zh-CN"/>
        </w:rPr>
        <w:t>Observation 2: From the perspective of frequency error:</w:t>
      </w:r>
    </w:p>
    <w:p>
      <w:pPr>
        <w:numPr>
          <w:ilvl w:val="0"/>
          <w:numId w:val="5"/>
        </w:numPr>
        <w:autoSpaceDN w:val="0"/>
        <w:spacing w:before="60"/>
        <w:ind w:left="420" w:leftChars="0" w:hanging="420" w:firstLineChars="0"/>
        <w:jc w:val="both"/>
        <w:rPr>
          <w:rFonts w:hint="default" w:eastAsia="宋体"/>
          <w:sz w:val="20"/>
          <w:szCs w:val="20"/>
          <w:lang w:val="en-US" w:eastAsia="zh-CN"/>
        </w:rPr>
      </w:pPr>
      <w:r>
        <w:rPr>
          <w:rFonts w:hint="eastAsia" w:eastAsia="宋体"/>
          <w:b/>
          <w:bCs/>
          <w:i/>
          <w:iCs/>
          <w:sz w:val="20"/>
          <w:szCs w:val="20"/>
          <w:lang w:val="en-US" w:eastAsia="zh-CN"/>
        </w:rPr>
        <w:t xml:space="preserve"> for the short PRACH format, the error of indicated BS location should be within 15km for sub-array antenna, and 6km for non-sub-array antenna.</w:t>
      </w:r>
    </w:p>
    <w:p>
      <w:pPr>
        <w:autoSpaceDN w:val="0"/>
        <w:spacing w:before="60"/>
        <w:jc w:val="both"/>
        <w:rPr>
          <w:rFonts w:hint="eastAsia" w:eastAsia="宋体"/>
          <w:sz w:val="20"/>
          <w:szCs w:val="20"/>
          <w:lang w:val="en-US" w:eastAsia="zh-CN"/>
        </w:rPr>
      </w:pPr>
      <w:r>
        <w:rPr>
          <w:rFonts w:hint="eastAsia" w:eastAsia="宋体"/>
          <w:sz w:val="20"/>
          <w:szCs w:val="20"/>
          <w:lang w:val="en-US" w:eastAsia="zh-CN"/>
        </w:rPr>
        <w:t>From the perspective of PRACH timing error control, by assuming 40% CP is used for error tolerance calculation, the location error tolerance corresponds to each format and SCS are as following table:</w:t>
      </w:r>
    </w:p>
    <w:tbl>
      <w:tblPr>
        <w:tblStyle w:val="19"/>
        <w:tblW w:w="4131"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9"/>
        <w:gridCol w:w="1201"/>
        <w:gridCol w:w="1993"/>
        <w:gridCol w:w="723"/>
        <w:gridCol w:w="1145"/>
        <w:gridCol w:w="1750"/>
        <w:gridCol w:w="18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74" w:type="pct"/>
            <w:tcBorders>
              <w:top w:val="nil"/>
              <w:left w:val="nil"/>
              <w:bottom w:val="nil"/>
              <w:right w:val="nil"/>
            </w:tcBorders>
            <w:shd w:val="clear" w:color="auto" w:fill="002060"/>
            <w:noWrap/>
            <w:vAlign w:val="bottom"/>
          </w:tcPr>
          <w:p>
            <w:pPr>
              <w:rPr>
                <w:rFonts w:hint="default" w:ascii="Times New Roman" w:hAnsi="Times New Roman" w:eastAsia="等线" w:cs="Times New Roman"/>
                <w:i w:val="0"/>
                <w:iCs w:val="0"/>
                <w:color w:val="FFFFFF"/>
                <w:sz w:val="22"/>
                <w:szCs w:val="22"/>
                <w:u w:val="none"/>
              </w:rPr>
            </w:pPr>
          </w:p>
        </w:tc>
        <w:tc>
          <w:tcPr>
            <w:tcW w:w="3616" w:type="pct"/>
            <w:gridSpan w:val="5"/>
            <w:tcBorders>
              <w:top w:val="nil"/>
              <w:left w:val="nil"/>
              <w:bottom w:val="nil"/>
              <w:right w:val="nil"/>
            </w:tcBorders>
            <w:shd w:val="clear" w:color="auto" w:fill="002060"/>
            <w:noWrap/>
            <w:vAlign w:val="bottom"/>
          </w:tcPr>
          <w:p>
            <w:pPr>
              <w:keepNext w:val="0"/>
              <w:keepLines w:val="0"/>
              <w:widowControl/>
              <w:suppressLineNumbers w:val="0"/>
              <w:jc w:val="center"/>
              <w:textAlignment w:val="bottom"/>
              <w:rPr>
                <w:rFonts w:hint="default" w:ascii="Times New Roman" w:hAnsi="Times New Roman" w:eastAsia="等线" w:cs="Times New Roman"/>
                <w:i w:val="0"/>
                <w:iCs w:val="0"/>
                <w:color w:val="FFFFFF"/>
                <w:sz w:val="22"/>
                <w:szCs w:val="22"/>
                <w:u w:val="none"/>
              </w:rPr>
            </w:pPr>
            <w:r>
              <w:rPr>
                <w:rFonts w:hint="default" w:ascii="Times New Roman" w:hAnsi="Times New Roman" w:eastAsia="等线" w:cs="Times New Roman"/>
                <w:i w:val="0"/>
                <w:iCs w:val="0"/>
                <w:color w:val="FFFFFF"/>
                <w:kern w:val="0"/>
                <w:sz w:val="22"/>
                <w:szCs w:val="22"/>
                <w:u w:val="none"/>
                <w:lang w:val="en-US" w:eastAsia="zh-CN" w:bidi="ar"/>
              </w:rPr>
              <w:t>Units in Ts</w:t>
            </w:r>
          </w:p>
        </w:tc>
        <w:tc>
          <w:tcPr>
            <w:tcW w:w="1009" w:type="pct"/>
            <w:tcBorders>
              <w:top w:val="nil"/>
              <w:left w:val="nil"/>
              <w:bottom w:val="nil"/>
              <w:right w:val="nil"/>
            </w:tcBorders>
            <w:shd w:val="clear" w:color="auto" w:fill="auto"/>
            <w:noWrap/>
            <w:vAlign w:val="bottom"/>
          </w:tcPr>
          <w:p>
            <w:pPr>
              <w:rPr>
                <w:rFonts w:hint="default" w:ascii="Times New Roman" w:hAnsi="Times New Roman" w:eastAsia="等线"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74"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Format</w:t>
            </w:r>
          </w:p>
        </w:tc>
        <w:tc>
          <w:tcPr>
            <w:tcW w:w="640"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Ncp [@15 kHz]</w:t>
            </w:r>
          </w:p>
        </w:tc>
        <w:tc>
          <w:tcPr>
            <w:tcW w:w="1040"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Delay budget (@40% of CP)</w:t>
            </w:r>
          </w:p>
        </w:tc>
        <w:tc>
          <w:tcPr>
            <w:tcW w:w="381"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Te (TN)</w:t>
            </w:r>
          </w:p>
        </w:tc>
        <w:tc>
          <w:tcPr>
            <w:tcW w:w="599"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T_relax (40 m)</w:t>
            </w:r>
          </w:p>
        </w:tc>
        <w:tc>
          <w:tcPr>
            <w:tcW w:w="954"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Remaining Delay budget</w:t>
            </w:r>
          </w:p>
        </w:tc>
        <w:tc>
          <w:tcPr>
            <w:tcW w:w="1009"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Total D error tolerated (m)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74"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A1</w:t>
            </w:r>
          </w:p>
        </w:tc>
        <w:tc>
          <w:tcPr>
            <w:tcW w:w="640"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288</w:t>
            </w:r>
          </w:p>
        </w:tc>
        <w:tc>
          <w:tcPr>
            <w:tcW w:w="1040"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115.2</w:t>
            </w:r>
          </w:p>
        </w:tc>
        <w:tc>
          <w:tcPr>
            <w:tcW w:w="381"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12</w:t>
            </w:r>
          </w:p>
        </w:tc>
        <w:tc>
          <w:tcPr>
            <w:tcW w:w="599"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954"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95.2</w:t>
            </w:r>
          </w:p>
        </w:tc>
        <w:tc>
          <w:tcPr>
            <w:tcW w:w="1009"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464.8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74"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A2</w:t>
            </w:r>
          </w:p>
        </w:tc>
        <w:tc>
          <w:tcPr>
            <w:tcW w:w="640"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576</w:t>
            </w:r>
          </w:p>
        </w:tc>
        <w:tc>
          <w:tcPr>
            <w:tcW w:w="1040"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230.4</w:t>
            </w:r>
          </w:p>
        </w:tc>
        <w:tc>
          <w:tcPr>
            <w:tcW w:w="381"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12</w:t>
            </w:r>
          </w:p>
        </w:tc>
        <w:tc>
          <w:tcPr>
            <w:tcW w:w="599"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954"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210.4</w:t>
            </w:r>
          </w:p>
        </w:tc>
        <w:tc>
          <w:tcPr>
            <w:tcW w:w="1009"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1027.3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74"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A3</w:t>
            </w:r>
          </w:p>
        </w:tc>
        <w:tc>
          <w:tcPr>
            <w:tcW w:w="640"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864</w:t>
            </w:r>
          </w:p>
        </w:tc>
        <w:tc>
          <w:tcPr>
            <w:tcW w:w="1040"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345.6</w:t>
            </w:r>
          </w:p>
        </w:tc>
        <w:tc>
          <w:tcPr>
            <w:tcW w:w="381"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12</w:t>
            </w:r>
          </w:p>
        </w:tc>
        <w:tc>
          <w:tcPr>
            <w:tcW w:w="599"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954"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325.6</w:t>
            </w:r>
          </w:p>
        </w:tc>
        <w:tc>
          <w:tcPr>
            <w:tcW w:w="1009"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1589.8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74"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B1</w:t>
            </w:r>
          </w:p>
        </w:tc>
        <w:tc>
          <w:tcPr>
            <w:tcW w:w="640"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216</w:t>
            </w:r>
          </w:p>
        </w:tc>
        <w:tc>
          <w:tcPr>
            <w:tcW w:w="1040"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86.4</w:t>
            </w:r>
          </w:p>
        </w:tc>
        <w:tc>
          <w:tcPr>
            <w:tcW w:w="381"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12</w:t>
            </w:r>
          </w:p>
        </w:tc>
        <w:tc>
          <w:tcPr>
            <w:tcW w:w="599"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954"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66.4</w:t>
            </w:r>
          </w:p>
        </w:tc>
        <w:tc>
          <w:tcPr>
            <w:tcW w:w="1009"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324.2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74"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B2</w:t>
            </w:r>
          </w:p>
        </w:tc>
        <w:tc>
          <w:tcPr>
            <w:tcW w:w="640"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360</w:t>
            </w:r>
          </w:p>
        </w:tc>
        <w:tc>
          <w:tcPr>
            <w:tcW w:w="1040"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144</w:t>
            </w:r>
          </w:p>
        </w:tc>
        <w:tc>
          <w:tcPr>
            <w:tcW w:w="381"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12</w:t>
            </w:r>
          </w:p>
        </w:tc>
        <w:tc>
          <w:tcPr>
            <w:tcW w:w="599"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954"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124</w:t>
            </w:r>
          </w:p>
        </w:tc>
        <w:tc>
          <w:tcPr>
            <w:tcW w:w="1009"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605.5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74"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B3</w:t>
            </w:r>
          </w:p>
        </w:tc>
        <w:tc>
          <w:tcPr>
            <w:tcW w:w="640"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504</w:t>
            </w:r>
          </w:p>
        </w:tc>
        <w:tc>
          <w:tcPr>
            <w:tcW w:w="1040"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201.6</w:t>
            </w:r>
          </w:p>
        </w:tc>
        <w:tc>
          <w:tcPr>
            <w:tcW w:w="381"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12</w:t>
            </w:r>
          </w:p>
        </w:tc>
        <w:tc>
          <w:tcPr>
            <w:tcW w:w="599"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954"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181.6</w:t>
            </w:r>
          </w:p>
        </w:tc>
        <w:tc>
          <w:tcPr>
            <w:tcW w:w="1009"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886.7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74"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B4</w:t>
            </w:r>
          </w:p>
        </w:tc>
        <w:tc>
          <w:tcPr>
            <w:tcW w:w="640"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936</w:t>
            </w:r>
          </w:p>
        </w:tc>
        <w:tc>
          <w:tcPr>
            <w:tcW w:w="1040"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374.4</w:t>
            </w:r>
          </w:p>
        </w:tc>
        <w:tc>
          <w:tcPr>
            <w:tcW w:w="381"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12</w:t>
            </w:r>
          </w:p>
        </w:tc>
        <w:tc>
          <w:tcPr>
            <w:tcW w:w="599"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954"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354.4</w:t>
            </w:r>
          </w:p>
        </w:tc>
        <w:tc>
          <w:tcPr>
            <w:tcW w:w="1009"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1730.5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74"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C0</w:t>
            </w:r>
          </w:p>
        </w:tc>
        <w:tc>
          <w:tcPr>
            <w:tcW w:w="640"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1240</w:t>
            </w:r>
          </w:p>
        </w:tc>
        <w:tc>
          <w:tcPr>
            <w:tcW w:w="1040"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496</w:t>
            </w:r>
          </w:p>
        </w:tc>
        <w:tc>
          <w:tcPr>
            <w:tcW w:w="381"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12</w:t>
            </w:r>
          </w:p>
        </w:tc>
        <w:tc>
          <w:tcPr>
            <w:tcW w:w="599"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954"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476</w:t>
            </w:r>
          </w:p>
        </w:tc>
        <w:tc>
          <w:tcPr>
            <w:tcW w:w="1009"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2324.2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74"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C1</w:t>
            </w:r>
          </w:p>
        </w:tc>
        <w:tc>
          <w:tcPr>
            <w:tcW w:w="640"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2048</w:t>
            </w:r>
          </w:p>
        </w:tc>
        <w:tc>
          <w:tcPr>
            <w:tcW w:w="1040"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819.2</w:t>
            </w:r>
          </w:p>
        </w:tc>
        <w:tc>
          <w:tcPr>
            <w:tcW w:w="381"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12</w:t>
            </w:r>
          </w:p>
        </w:tc>
        <w:tc>
          <w:tcPr>
            <w:tcW w:w="599"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954"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799.2</w:t>
            </w:r>
          </w:p>
        </w:tc>
        <w:tc>
          <w:tcPr>
            <w:tcW w:w="1009"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3902.3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3990" w:type="pct"/>
            <w:gridSpan w:val="6"/>
            <w:tcBorders>
              <w:top w:val="nil"/>
              <w:left w:val="nil"/>
              <w:bottom w:val="nil"/>
              <w:right w:val="nil"/>
            </w:tcBorders>
            <w:shd w:val="clear" w:color="auto" w:fill="auto"/>
            <w:noWrap/>
            <w:vAlign w:val="bottom"/>
          </w:tcPr>
          <w:p>
            <w:pPr>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Note: For DL @15 kHz and UL @ 15 kHz</w:t>
            </w:r>
          </w:p>
        </w:tc>
        <w:tc>
          <w:tcPr>
            <w:tcW w:w="1009" w:type="pct"/>
            <w:tcBorders>
              <w:top w:val="nil"/>
              <w:left w:val="nil"/>
              <w:bottom w:val="nil"/>
              <w:right w:val="nil"/>
            </w:tcBorders>
            <w:shd w:val="clear" w:color="auto" w:fill="auto"/>
            <w:noWrap/>
            <w:vAlign w:val="bottom"/>
          </w:tcPr>
          <w:p>
            <w:pPr>
              <w:rPr>
                <w:rFonts w:hint="default" w:ascii="Times New Roman" w:hAnsi="Times New Roman" w:eastAsia="等线" w:cs="Times New Roman"/>
                <w:i w:val="0"/>
                <w:iCs w:val="0"/>
                <w:color w:val="000000"/>
                <w:sz w:val="22"/>
                <w:szCs w:val="22"/>
                <w:u w:val="none"/>
              </w:rPr>
            </w:pPr>
          </w:p>
        </w:tc>
      </w:tr>
    </w:tbl>
    <w:tbl>
      <w:tblPr>
        <w:tblStyle w:val="19"/>
        <w:tblpPr w:leftFromText="180" w:rightFromText="180" w:vertAnchor="text" w:horzAnchor="page" w:tblpX="1794" w:tblpY="308"/>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7"/>
        <w:gridCol w:w="1177"/>
        <w:gridCol w:w="1950"/>
        <w:gridCol w:w="711"/>
        <w:gridCol w:w="1123"/>
        <w:gridCol w:w="1713"/>
        <w:gridCol w:w="18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59" w:type="dxa"/>
            <w:tcBorders>
              <w:top w:val="nil"/>
              <w:left w:val="nil"/>
              <w:bottom w:val="nil"/>
              <w:right w:val="nil"/>
            </w:tcBorders>
            <w:shd w:val="clear" w:color="auto" w:fill="002060"/>
            <w:noWrap/>
            <w:vAlign w:val="bottom"/>
          </w:tcPr>
          <w:p>
            <w:pPr>
              <w:rPr>
                <w:rFonts w:hint="default" w:ascii="Times New Roman" w:hAnsi="Times New Roman" w:eastAsia="等线" w:cs="Times New Roman"/>
                <w:i w:val="0"/>
                <w:iCs w:val="0"/>
                <w:color w:val="FFFFFF"/>
                <w:sz w:val="22"/>
                <w:szCs w:val="22"/>
                <w:u w:val="none"/>
              </w:rPr>
            </w:pPr>
          </w:p>
        </w:tc>
        <w:tc>
          <w:tcPr>
            <w:tcW w:w="6812" w:type="dxa"/>
            <w:gridSpan w:val="5"/>
            <w:tcBorders>
              <w:top w:val="nil"/>
              <w:left w:val="nil"/>
              <w:bottom w:val="nil"/>
              <w:right w:val="nil"/>
            </w:tcBorders>
            <w:shd w:val="clear" w:color="auto" w:fill="002060"/>
            <w:noWrap/>
            <w:vAlign w:val="bottom"/>
          </w:tcPr>
          <w:p>
            <w:pPr>
              <w:keepNext w:val="0"/>
              <w:keepLines w:val="0"/>
              <w:widowControl/>
              <w:suppressLineNumbers w:val="0"/>
              <w:jc w:val="center"/>
              <w:textAlignment w:val="bottom"/>
              <w:rPr>
                <w:rFonts w:hint="default" w:ascii="Times New Roman" w:hAnsi="Times New Roman" w:eastAsia="等线" w:cs="Times New Roman"/>
                <w:i w:val="0"/>
                <w:iCs w:val="0"/>
                <w:color w:val="FFFFFF"/>
                <w:sz w:val="22"/>
                <w:szCs w:val="22"/>
                <w:u w:val="none"/>
              </w:rPr>
            </w:pPr>
            <w:r>
              <w:rPr>
                <w:rFonts w:hint="default" w:ascii="Times New Roman" w:hAnsi="Times New Roman" w:eastAsia="等线" w:cs="Times New Roman"/>
                <w:i w:val="0"/>
                <w:iCs w:val="0"/>
                <w:color w:val="FFFFFF"/>
                <w:kern w:val="0"/>
                <w:sz w:val="22"/>
                <w:szCs w:val="22"/>
                <w:u w:val="none"/>
                <w:lang w:val="en-US" w:eastAsia="zh-CN" w:bidi="ar"/>
              </w:rPr>
              <w:t>Units in Ts</w:t>
            </w:r>
          </w:p>
        </w:tc>
        <w:tc>
          <w:tcPr>
            <w:tcW w:w="1860" w:type="dxa"/>
            <w:tcBorders>
              <w:top w:val="nil"/>
              <w:left w:val="nil"/>
              <w:bottom w:val="nil"/>
              <w:right w:val="nil"/>
            </w:tcBorders>
            <w:shd w:val="clear" w:color="auto" w:fill="auto"/>
            <w:noWrap/>
            <w:vAlign w:val="bottom"/>
          </w:tcPr>
          <w:p>
            <w:pPr>
              <w:rPr>
                <w:rFonts w:hint="default" w:ascii="Times New Roman" w:hAnsi="Times New Roman" w:eastAsia="等线"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59"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Format</w:t>
            </w:r>
          </w:p>
        </w:tc>
        <w:tc>
          <w:tcPr>
            <w:tcW w:w="120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Ncp [@30 kHz]</w:t>
            </w:r>
          </w:p>
        </w:tc>
        <w:tc>
          <w:tcPr>
            <w:tcW w:w="1993"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Delay budget (@40% of CP)</w:t>
            </w:r>
          </w:p>
        </w:tc>
        <w:tc>
          <w:tcPr>
            <w:tcW w:w="723"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Te (TN)</w:t>
            </w:r>
          </w:p>
        </w:tc>
        <w:tc>
          <w:tcPr>
            <w:tcW w:w="114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T_relax (40 m)</w:t>
            </w:r>
          </w:p>
        </w:tc>
        <w:tc>
          <w:tcPr>
            <w:tcW w:w="1750"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Remaining Delay budget</w:t>
            </w:r>
          </w:p>
        </w:tc>
        <w:tc>
          <w:tcPr>
            <w:tcW w:w="1860"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Total D error tolerated (m)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59"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A1</w:t>
            </w:r>
          </w:p>
        </w:tc>
        <w:tc>
          <w:tcPr>
            <w:tcW w:w="1201"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144</w:t>
            </w:r>
          </w:p>
        </w:tc>
        <w:tc>
          <w:tcPr>
            <w:tcW w:w="1993"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57.6</w:t>
            </w:r>
          </w:p>
        </w:tc>
        <w:tc>
          <w:tcPr>
            <w:tcW w:w="723"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1145"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1750"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41.6</w:t>
            </w:r>
          </w:p>
        </w:tc>
        <w:tc>
          <w:tcPr>
            <w:tcW w:w="1860"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203.1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59"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A2</w:t>
            </w:r>
          </w:p>
        </w:tc>
        <w:tc>
          <w:tcPr>
            <w:tcW w:w="1201"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288</w:t>
            </w:r>
          </w:p>
        </w:tc>
        <w:tc>
          <w:tcPr>
            <w:tcW w:w="1993"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115.2</w:t>
            </w:r>
          </w:p>
        </w:tc>
        <w:tc>
          <w:tcPr>
            <w:tcW w:w="723"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1145"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1750"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98.2</w:t>
            </w:r>
          </w:p>
        </w:tc>
        <w:tc>
          <w:tcPr>
            <w:tcW w:w="1860"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484.4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59"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A3</w:t>
            </w:r>
          </w:p>
        </w:tc>
        <w:tc>
          <w:tcPr>
            <w:tcW w:w="1201"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432</w:t>
            </w:r>
          </w:p>
        </w:tc>
        <w:tc>
          <w:tcPr>
            <w:tcW w:w="1993"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172.8</w:t>
            </w:r>
          </w:p>
        </w:tc>
        <w:tc>
          <w:tcPr>
            <w:tcW w:w="723"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1145"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1750"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154.8</w:t>
            </w:r>
          </w:p>
        </w:tc>
        <w:tc>
          <w:tcPr>
            <w:tcW w:w="1860"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765.6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59"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B1</w:t>
            </w:r>
          </w:p>
        </w:tc>
        <w:tc>
          <w:tcPr>
            <w:tcW w:w="1201"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108</w:t>
            </w:r>
          </w:p>
        </w:tc>
        <w:tc>
          <w:tcPr>
            <w:tcW w:w="1993"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43.2</w:t>
            </w:r>
          </w:p>
        </w:tc>
        <w:tc>
          <w:tcPr>
            <w:tcW w:w="723"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1145"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1750"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24.2</w:t>
            </w:r>
          </w:p>
        </w:tc>
        <w:tc>
          <w:tcPr>
            <w:tcW w:w="1860"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132.8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59"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B2</w:t>
            </w:r>
          </w:p>
        </w:tc>
        <w:tc>
          <w:tcPr>
            <w:tcW w:w="1201"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180</w:t>
            </w:r>
          </w:p>
        </w:tc>
        <w:tc>
          <w:tcPr>
            <w:tcW w:w="1993"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72</w:t>
            </w:r>
          </w:p>
        </w:tc>
        <w:tc>
          <w:tcPr>
            <w:tcW w:w="723"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1145"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1750"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52</w:t>
            </w:r>
          </w:p>
        </w:tc>
        <w:tc>
          <w:tcPr>
            <w:tcW w:w="1860"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273.4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59"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B3</w:t>
            </w:r>
          </w:p>
        </w:tc>
        <w:tc>
          <w:tcPr>
            <w:tcW w:w="1201"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252</w:t>
            </w:r>
          </w:p>
        </w:tc>
        <w:tc>
          <w:tcPr>
            <w:tcW w:w="1993"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100.8</w:t>
            </w:r>
          </w:p>
        </w:tc>
        <w:tc>
          <w:tcPr>
            <w:tcW w:w="723"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1145"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1750"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79.8</w:t>
            </w:r>
          </w:p>
        </w:tc>
        <w:tc>
          <w:tcPr>
            <w:tcW w:w="1860"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414.1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59"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B4</w:t>
            </w:r>
          </w:p>
        </w:tc>
        <w:tc>
          <w:tcPr>
            <w:tcW w:w="1201"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468</w:t>
            </w:r>
          </w:p>
        </w:tc>
        <w:tc>
          <w:tcPr>
            <w:tcW w:w="1993"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187.2</w:t>
            </w:r>
          </w:p>
        </w:tc>
        <w:tc>
          <w:tcPr>
            <w:tcW w:w="723"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1145"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1750"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165.2</w:t>
            </w:r>
          </w:p>
        </w:tc>
        <w:tc>
          <w:tcPr>
            <w:tcW w:w="1860"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835.9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59"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C0</w:t>
            </w:r>
          </w:p>
        </w:tc>
        <w:tc>
          <w:tcPr>
            <w:tcW w:w="1201"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620</w:t>
            </w:r>
          </w:p>
        </w:tc>
        <w:tc>
          <w:tcPr>
            <w:tcW w:w="1993"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248</w:t>
            </w:r>
          </w:p>
        </w:tc>
        <w:tc>
          <w:tcPr>
            <w:tcW w:w="723"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1145"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1750"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225</w:t>
            </w:r>
          </w:p>
        </w:tc>
        <w:tc>
          <w:tcPr>
            <w:tcW w:w="1860"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1132.8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59"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C1</w:t>
            </w:r>
          </w:p>
        </w:tc>
        <w:tc>
          <w:tcPr>
            <w:tcW w:w="1201"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1024</w:t>
            </w:r>
          </w:p>
        </w:tc>
        <w:tc>
          <w:tcPr>
            <w:tcW w:w="1993"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409.6</w:t>
            </w:r>
          </w:p>
        </w:tc>
        <w:tc>
          <w:tcPr>
            <w:tcW w:w="723"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1145"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1750"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385.6</w:t>
            </w:r>
          </w:p>
        </w:tc>
        <w:tc>
          <w:tcPr>
            <w:tcW w:w="1860"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1921.9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9331" w:type="dxa"/>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Note: For DL @30kHz and UL @ 30kHz</w:t>
            </w:r>
          </w:p>
        </w:tc>
      </w:tr>
    </w:tbl>
    <w:p>
      <w:pPr>
        <w:autoSpaceDN w:val="0"/>
        <w:spacing w:before="60"/>
        <w:jc w:val="both"/>
        <w:rPr>
          <w:rFonts w:hint="eastAsia" w:eastAsia="宋体"/>
          <w:sz w:val="20"/>
          <w:szCs w:val="20"/>
          <w:lang w:val="en-US" w:eastAsia="zh-CN"/>
        </w:rPr>
      </w:pPr>
    </w:p>
    <w:p>
      <w:pPr>
        <w:autoSpaceDN w:val="0"/>
        <w:spacing w:before="60"/>
        <w:jc w:val="both"/>
        <w:rPr>
          <w:rFonts w:hint="default" w:eastAsia="宋体"/>
          <w:sz w:val="20"/>
          <w:szCs w:val="20"/>
          <w:lang w:val="en-US" w:eastAsia="zh-CN"/>
        </w:rPr>
      </w:pPr>
    </w:p>
    <w:tbl>
      <w:tblPr>
        <w:tblStyle w:val="1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9"/>
        <w:gridCol w:w="1207"/>
        <w:gridCol w:w="1948"/>
        <w:gridCol w:w="709"/>
        <w:gridCol w:w="1118"/>
        <w:gridCol w:w="1791"/>
        <w:gridCol w:w="19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977" w:type="pct"/>
            <w:gridSpan w:val="6"/>
            <w:tcBorders>
              <w:top w:val="nil"/>
              <w:left w:val="nil"/>
              <w:bottom w:val="nil"/>
              <w:right w:val="nil"/>
            </w:tcBorders>
            <w:shd w:val="clear" w:color="auto" w:fill="002060"/>
            <w:noWrap/>
            <w:vAlign w:val="bottom"/>
          </w:tcPr>
          <w:p>
            <w:pPr>
              <w:keepNext w:val="0"/>
              <w:keepLines w:val="0"/>
              <w:widowControl/>
              <w:suppressLineNumbers w:val="0"/>
              <w:jc w:val="center"/>
              <w:textAlignment w:val="bottom"/>
              <w:rPr>
                <w:rFonts w:hint="default" w:ascii="Times New Roman" w:hAnsi="Times New Roman" w:eastAsia="等线" w:cs="Times New Roman"/>
                <w:i w:val="0"/>
                <w:iCs w:val="0"/>
                <w:color w:val="FFFFFF"/>
                <w:sz w:val="22"/>
                <w:szCs w:val="22"/>
                <w:u w:val="none"/>
              </w:rPr>
            </w:pPr>
            <w:r>
              <w:rPr>
                <w:rFonts w:hint="default" w:ascii="Times New Roman" w:hAnsi="Times New Roman" w:eastAsia="等线" w:cs="Times New Roman"/>
                <w:i w:val="0"/>
                <w:iCs w:val="0"/>
                <w:color w:val="FFFFFF"/>
                <w:kern w:val="0"/>
                <w:sz w:val="22"/>
                <w:szCs w:val="22"/>
                <w:u w:val="none"/>
                <w:lang w:val="en-US" w:eastAsia="zh-CN" w:bidi="ar"/>
              </w:rPr>
              <w:t>Units in Ts</w:t>
            </w:r>
          </w:p>
        </w:tc>
        <w:tc>
          <w:tcPr>
            <w:tcW w:w="1022" w:type="pct"/>
            <w:tcBorders>
              <w:top w:val="nil"/>
              <w:left w:val="nil"/>
              <w:bottom w:val="nil"/>
              <w:right w:val="nil"/>
            </w:tcBorders>
            <w:shd w:val="clear" w:color="auto" w:fill="auto"/>
            <w:noWrap/>
            <w:vAlign w:val="bottom"/>
          </w:tcPr>
          <w:p>
            <w:pPr>
              <w:rPr>
                <w:rFonts w:hint="default" w:ascii="Times New Roman" w:hAnsi="Times New Roman" w:eastAsia="等线"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47"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Format</w:t>
            </w:r>
          </w:p>
        </w:tc>
        <w:tc>
          <w:tcPr>
            <w:tcW w:w="646"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Ncp </w:t>
            </w:r>
          </w:p>
        </w:tc>
        <w:tc>
          <w:tcPr>
            <w:tcW w:w="1043"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Delay budget (@40% of CP)</w:t>
            </w:r>
          </w:p>
        </w:tc>
        <w:tc>
          <w:tcPr>
            <w:tcW w:w="379"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Te (TN)</w:t>
            </w:r>
          </w:p>
        </w:tc>
        <w:tc>
          <w:tcPr>
            <w:tcW w:w="599"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T_relax (40 m)</w:t>
            </w:r>
          </w:p>
        </w:tc>
        <w:tc>
          <w:tcPr>
            <w:tcW w:w="959"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Remaining Delay budget</w:t>
            </w:r>
          </w:p>
        </w:tc>
        <w:tc>
          <w:tcPr>
            <w:tcW w:w="1022" w:type="pct"/>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Total D error tolerated (m)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47"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0</w:t>
            </w:r>
          </w:p>
        </w:tc>
        <w:tc>
          <w:tcPr>
            <w:tcW w:w="646"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3168</w:t>
            </w:r>
          </w:p>
        </w:tc>
        <w:tc>
          <w:tcPr>
            <w:tcW w:w="1043"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1267.2</w:t>
            </w:r>
          </w:p>
        </w:tc>
        <w:tc>
          <w:tcPr>
            <w:tcW w:w="379"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12</w:t>
            </w:r>
          </w:p>
        </w:tc>
        <w:tc>
          <w:tcPr>
            <w:tcW w:w="599"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959"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1247.2</w:t>
            </w:r>
          </w:p>
        </w:tc>
        <w:tc>
          <w:tcPr>
            <w:tcW w:w="1022"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6089.8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47"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w:t>
            </w:r>
          </w:p>
        </w:tc>
        <w:tc>
          <w:tcPr>
            <w:tcW w:w="646"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21024</w:t>
            </w:r>
          </w:p>
        </w:tc>
        <w:tc>
          <w:tcPr>
            <w:tcW w:w="1043"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8409.6</w:t>
            </w:r>
          </w:p>
        </w:tc>
        <w:tc>
          <w:tcPr>
            <w:tcW w:w="379"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12</w:t>
            </w:r>
          </w:p>
        </w:tc>
        <w:tc>
          <w:tcPr>
            <w:tcW w:w="599"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959"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8389.6</w:t>
            </w:r>
          </w:p>
        </w:tc>
        <w:tc>
          <w:tcPr>
            <w:tcW w:w="1022"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40964.8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47"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2</w:t>
            </w:r>
          </w:p>
        </w:tc>
        <w:tc>
          <w:tcPr>
            <w:tcW w:w="646"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4688</w:t>
            </w:r>
          </w:p>
        </w:tc>
        <w:tc>
          <w:tcPr>
            <w:tcW w:w="1043"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1875.2</w:t>
            </w:r>
          </w:p>
        </w:tc>
        <w:tc>
          <w:tcPr>
            <w:tcW w:w="379"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12</w:t>
            </w:r>
          </w:p>
        </w:tc>
        <w:tc>
          <w:tcPr>
            <w:tcW w:w="599"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959"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1855.2</w:t>
            </w:r>
          </w:p>
        </w:tc>
        <w:tc>
          <w:tcPr>
            <w:tcW w:w="1022"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9058.6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47"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3</w:t>
            </w:r>
          </w:p>
        </w:tc>
        <w:tc>
          <w:tcPr>
            <w:tcW w:w="646"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3168</w:t>
            </w:r>
          </w:p>
        </w:tc>
        <w:tc>
          <w:tcPr>
            <w:tcW w:w="1043"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1267.2</w:t>
            </w:r>
          </w:p>
        </w:tc>
        <w:tc>
          <w:tcPr>
            <w:tcW w:w="379"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12</w:t>
            </w:r>
          </w:p>
        </w:tc>
        <w:tc>
          <w:tcPr>
            <w:tcW w:w="599"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8</w:t>
            </w:r>
          </w:p>
        </w:tc>
        <w:tc>
          <w:tcPr>
            <w:tcW w:w="959"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1247.2</w:t>
            </w:r>
          </w:p>
        </w:tc>
        <w:tc>
          <w:tcPr>
            <w:tcW w:w="1022" w:type="pct"/>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Times New Roman" w:hAnsi="Times New Roman" w:eastAsia="等线" w:cs="Times New Roman"/>
                <w:i w:val="0"/>
                <w:iCs w:val="0"/>
                <w:color w:val="000000"/>
                <w:sz w:val="22"/>
                <w:szCs w:val="22"/>
                <w:u w:val="none"/>
              </w:rPr>
            </w:pPr>
            <w:r>
              <w:rPr>
                <w:rFonts w:hint="default" w:ascii="Times New Roman" w:hAnsi="Times New Roman" w:eastAsia="等线" w:cs="Times New Roman"/>
                <w:i w:val="0"/>
                <w:iCs w:val="0"/>
                <w:color w:val="000000"/>
                <w:kern w:val="0"/>
                <w:sz w:val="22"/>
                <w:szCs w:val="22"/>
                <w:u w:val="none"/>
                <w:lang w:val="en-US" w:eastAsia="zh-CN" w:bidi="ar"/>
              </w:rPr>
              <w:t xml:space="preserve">6089.8 </w:t>
            </w:r>
          </w:p>
        </w:tc>
      </w:tr>
    </w:tbl>
    <w:p>
      <w:pPr>
        <w:autoSpaceDN w:val="0"/>
        <w:spacing w:before="60"/>
        <w:jc w:val="both"/>
        <w:rPr>
          <w:rFonts w:hint="default" w:eastAsia="宋体"/>
          <w:sz w:val="20"/>
          <w:szCs w:val="20"/>
          <w:lang w:val="en-US" w:eastAsia="zh-CN"/>
        </w:rPr>
      </w:pPr>
    </w:p>
    <w:p>
      <w:pPr>
        <w:autoSpaceDN w:val="0"/>
        <w:spacing w:before="60"/>
        <w:jc w:val="both"/>
        <w:rPr>
          <w:rFonts w:hint="eastAsia" w:eastAsia="宋体"/>
          <w:b/>
          <w:bCs/>
          <w:i/>
          <w:iCs/>
          <w:sz w:val="20"/>
          <w:szCs w:val="20"/>
          <w:lang w:val="en-US" w:eastAsia="zh-CN"/>
        </w:rPr>
      </w:pPr>
      <w:r>
        <w:rPr>
          <w:rFonts w:hint="eastAsia" w:eastAsia="宋体"/>
          <w:b/>
          <w:bCs/>
          <w:i/>
          <w:iCs/>
          <w:sz w:val="20"/>
          <w:szCs w:val="20"/>
          <w:lang w:val="en-US" w:eastAsia="zh-CN"/>
        </w:rPr>
        <w:t>Observation 3: For DL/UL 15kHz SCS, the maximum error tolerance of indicated BS location is about 3.9km. The tolerance is related to PRACH preamble format, longer CP length allows larger uncertainty.</w:t>
      </w:r>
    </w:p>
    <w:p>
      <w:pPr>
        <w:autoSpaceDN w:val="0"/>
        <w:spacing w:before="60"/>
        <w:jc w:val="both"/>
        <w:rPr>
          <w:rFonts w:hint="default" w:eastAsia="宋体"/>
          <w:b/>
          <w:bCs/>
          <w:i/>
          <w:iCs/>
          <w:sz w:val="20"/>
          <w:szCs w:val="20"/>
          <w:lang w:val="en-US" w:eastAsia="zh-CN"/>
        </w:rPr>
      </w:pPr>
      <w:r>
        <w:rPr>
          <w:rFonts w:hint="eastAsia" w:eastAsia="宋体"/>
          <w:b/>
          <w:bCs/>
          <w:i/>
          <w:iCs/>
          <w:sz w:val="20"/>
          <w:szCs w:val="20"/>
          <w:lang w:val="en-US" w:eastAsia="zh-CN"/>
        </w:rPr>
        <w:t>Observation 4: For DL/UL 30kHz SCS, the maximum error tolerance of indicated BS location is about 1.9km. The tolerance is related to PRACH preamble format, longer CP length allows larger uncertainty.</w:t>
      </w:r>
    </w:p>
    <w:p>
      <w:pPr>
        <w:autoSpaceDN w:val="0"/>
        <w:spacing w:before="60"/>
        <w:jc w:val="both"/>
        <w:rPr>
          <w:rFonts w:hint="eastAsia" w:eastAsia="宋体"/>
          <w:b/>
          <w:bCs/>
          <w:i/>
          <w:iCs/>
          <w:sz w:val="20"/>
          <w:szCs w:val="20"/>
          <w:lang w:val="en-US" w:eastAsia="zh-CN"/>
        </w:rPr>
      </w:pPr>
      <w:r>
        <w:rPr>
          <w:rFonts w:hint="eastAsia" w:eastAsia="宋体"/>
          <w:b/>
          <w:bCs/>
          <w:i/>
          <w:iCs/>
          <w:sz w:val="20"/>
          <w:szCs w:val="20"/>
          <w:lang w:val="en-US" w:eastAsia="zh-CN"/>
        </w:rPr>
        <w:t>Observation 5: For long PRACH format of 1.25kHz SCS, the maximum error tolerance of indicated BS location is about 40km. The tolerance is related to PRACH preamble format, longer CP length allows larger uncertainty.</w:t>
      </w:r>
    </w:p>
    <w:p>
      <w:pPr>
        <w:autoSpaceDN w:val="0"/>
        <w:spacing w:before="60"/>
        <w:jc w:val="both"/>
        <w:rPr>
          <w:rFonts w:hint="eastAsia" w:eastAsia="宋体"/>
          <w:sz w:val="20"/>
          <w:szCs w:val="20"/>
          <w:lang w:val="en-US" w:eastAsia="zh-CN"/>
        </w:rPr>
      </w:pPr>
      <w:r>
        <w:rPr>
          <w:rFonts w:hint="default" w:eastAsia="宋体"/>
          <w:sz w:val="20"/>
          <w:szCs w:val="20"/>
          <w:lang w:val="en-US" w:eastAsia="zh-CN"/>
        </w:rPr>
        <w:t xml:space="preserve">From a comprehensive perspective of </w:t>
      </w:r>
      <w:r>
        <w:rPr>
          <w:rFonts w:hint="eastAsia" w:eastAsia="宋体"/>
          <w:sz w:val="20"/>
          <w:szCs w:val="20"/>
          <w:lang w:val="en-US" w:eastAsia="zh-CN"/>
        </w:rPr>
        <w:t>timing error budget</w:t>
      </w:r>
      <w:r>
        <w:rPr>
          <w:rFonts w:hint="default" w:eastAsia="宋体"/>
          <w:sz w:val="20"/>
          <w:szCs w:val="20"/>
          <w:lang w:val="en-US" w:eastAsia="zh-CN"/>
        </w:rPr>
        <w:t xml:space="preserve"> and </w:t>
      </w:r>
      <w:r>
        <w:rPr>
          <w:rFonts w:hint="eastAsia" w:eastAsia="宋体"/>
          <w:sz w:val="20"/>
          <w:szCs w:val="20"/>
          <w:lang w:val="en-US" w:eastAsia="zh-CN"/>
        </w:rPr>
        <w:t>frequency error budget, we have the following observations:</w:t>
      </w:r>
    </w:p>
    <w:p>
      <w:pPr>
        <w:autoSpaceDN w:val="0"/>
        <w:spacing w:before="60"/>
        <w:jc w:val="both"/>
        <w:rPr>
          <w:rFonts w:hint="eastAsia" w:eastAsia="宋体"/>
          <w:b/>
          <w:bCs/>
          <w:i/>
          <w:iCs/>
          <w:sz w:val="20"/>
          <w:szCs w:val="20"/>
          <w:lang w:val="en-US" w:eastAsia="zh-CN"/>
        </w:rPr>
      </w:pPr>
      <w:r>
        <w:rPr>
          <w:rFonts w:hint="eastAsia" w:eastAsia="宋体"/>
          <w:b/>
          <w:bCs/>
          <w:i/>
          <w:iCs/>
          <w:sz w:val="20"/>
          <w:szCs w:val="20"/>
          <w:lang w:val="en-US" w:eastAsia="zh-CN"/>
        </w:rPr>
        <w:t xml:space="preserve">Observation 6: For long PRACH format of 1.25kHz SCS, the bottleneck of error tolerance of indicated BS location is frequency error budget. </w:t>
      </w:r>
    </w:p>
    <w:p>
      <w:pPr>
        <w:numPr>
          <w:ilvl w:val="0"/>
          <w:numId w:val="5"/>
        </w:numPr>
        <w:autoSpaceDN w:val="0"/>
        <w:spacing w:before="60"/>
        <w:ind w:left="420" w:leftChars="0" w:hanging="420" w:firstLineChars="0"/>
        <w:jc w:val="both"/>
        <w:rPr>
          <w:rFonts w:hint="eastAsia" w:eastAsia="宋体"/>
          <w:b/>
          <w:bCs/>
          <w:i/>
          <w:iCs/>
          <w:sz w:val="20"/>
          <w:szCs w:val="20"/>
          <w:lang w:val="en-US" w:eastAsia="zh-CN"/>
        </w:rPr>
      </w:pPr>
      <w:r>
        <w:rPr>
          <w:rFonts w:hint="eastAsia" w:eastAsia="宋体"/>
          <w:b/>
          <w:bCs/>
          <w:i/>
          <w:iCs/>
          <w:sz w:val="20"/>
          <w:szCs w:val="20"/>
          <w:lang w:val="en-US" w:eastAsia="zh-CN"/>
        </w:rPr>
        <w:t>Sub-array antenna allows larger uncertainty compared with non-sub-array antenna.</w:t>
      </w:r>
    </w:p>
    <w:p>
      <w:pPr>
        <w:numPr>
          <w:ilvl w:val="0"/>
          <w:numId w:val="5"/>
        </w:numPr>
        <w:autoSpaceDN w:val="0"/>
        <w:spacing w:before="60"/>
        <w:ind w:left="420" w:leftChars="0" w:hanging="420" w:firstLineChars="0"/>
        <w:jc w:val="both"/>
        <w:rPr>
          <w:rFonts w:hint="default" w:eastAsia="宋体"/>
          <w:b/>
          <w:bCs/>
          <w:i/>
          <w:iCs/>
          <w:sz w:val="20"/>
          <w:szCs w:val="20"/>
          <w:lang w:val="en-US" w:eastAsia="zh-CN"/>
        </w:rPr>
      </w:pPr>
      <w:r>
        <w:rPr>
          <w:rFonts w:hint="eastAsia" w:eastAsia="宋体"/>
          <w:b/>
          <w:bCs/>
          <w:i/>
          <w:iCs/>
          <w:sz w:val="20"/>
          <w:szCs w:val="20"/>
          <w:lang w:val="en-US" w:eastAsia="zh-CN"/>
        </w:rPr>
        <w:t>Lower frequency allows larger uncertainty.</w:t>
      </w:r>
    </w:p>
    <w:p>
      <w:pPr>
        <w:autoSpaceDN w:val="0"/>
        <w:spacing w:before="60"/>
        <w:jc w:val="both"/>
        <w:rPr>
          <w:rFonts w:hint="eastAsia" w:eastAsia="宋体"/>
          <w:b/>
          <w:bCs/>
          <w:i/>
          <w:iCs/>
          <w:sz w:val="20"/>
          <w:szCs w:val="20"/>
          <w:lang w:val="en-US" w:eastAsia="zh-CN"/>
        </w:rPr>
      </w:pPr>
      <w:r>
        <w:rPr>
          <w:rFonts w:hint="eastAsia" w:eastAsia="宋体"/>
          <w:b/>
          <w:bCs/>
          <w:i/>
          <w:iCs/>
          <w:sz w:val="20"/>
          <w:szCs w:val="20"/>
          <w:lang w:val="en-US" w:eastAsia="zh-CN"/>
        </w:rPr>
        <w:t xml:space="preserve">Observation 7: For short PRACH format of 15kHz and 30kHz SCS, the bottleneck of error tolerance of indicated BS location is timing error budget. </w:t>
      </w:r>
    </w:p>
    <w:p>
      <w:pPr>
        <w:numPr>
          <w:ilvl w:val="0"/>
          <w:numId w:val="5"/>
        </w:numPr>
        <w:autoSpaceDN w:val="0"/>
        <w:spacing w:before="60"/>
        <w:ind w:left="420" w:leftChars="0" w:hanging="420" w:firstLineChars="0"/>
        <w:jc w:val="both"/>
        <w:rPr>
          <w:rFonts w:eastAsia="等线"/>
          <w:b/>
          <w:bCs/>
          <w:i/>
          <w:iCs/>
          <w:sz w:val="20"/>
          <w:szCs w:val="20"/>
        </w:rPr>
      </w:pPr>
      <w:r>
        <w:rPr>
          <w:rFonts w:hint="eastAsia" w:eastAsia="宋体"/>
          <w:b/>
          <w:bCs/>
          <w:i/>
          <w:iCs/>
          <w:sz w:val="20"/>
          <w:szCs w:val="20"/>
          <w:lang w:val="en-US" w:eastAsia="zh-CN"/>
        </w:rPr>
        <w:t>Longer CP length allows larger uncertainty.</w:t>
      </w:r>
    </w:p>
    <w:p>
      <w:pPr>
        <w:numPr>
          <w:numId w:val="0"/>
        </w:numPr>
        <w:autoSpaceDN w:val="0"/>
        <w:spacing w:before="60"/>
        <w:jc w:val="both"/>
        <w:rPr>
          <w:rFonts w:hint="default" w:eastAsia="等线"/>
          <w:b/>
          <w:bCs/>
          <w:i/>
          <w:iCs/>
          <w:sz w:val="20"/>
          <w:szCs w:val="20"/>
          <w:lang w:val="en-US"/>
        </w:rPr>
      </w:pPr>
      <w:r>
        <w:rPr>
          <w:rFonts w:hint="eastAsia" w:eastAsia="宋体"/>
          <w:b/>
          <w:bCs/>
          <w:i/>
          <w:iCs/>
          <w:sz w:val="20"/>
          <w:szCs w:val="20"/>
          <w:lang w:val="en-US" w:eastAsia="zh-CN"/>
        </w:rPr>
        <w:t>Observation 8: From a comprehensive perspective of timing error budget and frequency error budget, the BS reference location error should be within 3.9km. The exact accuracy in each specific case is attached in the attachment.</w:t>
      </w:r>
    </w:p>
    <w:p>
      <w:pPr>
        <w:tabs>
          <w:tab w:val="left" w:pos="1134"/>
        </w:tabs>
        <w:spacing w:before="60"/>
        <w:jc w:val="both"/>
        <w:rPr>
          <w:rFonts w:hint="default" w:eastAsia="等线"/>
          <w:b/>
          <w:bCs/>
          <w:i/>
          <w:iCs/>
          <w:sz w:val="20"/>
          <w:szCs w:val="20"/>
          <w:lang w:val="en-US" w:eastAsia="zh-CN"/>
        </w:rPr>
      </w:pPr>
      <w:r>
        <w:rPr>
          <w:rFonts w:hint="eastAsia" w:eastAsia="等线"/>
          <w:b w:val="0"/>
          <w:bCs w:val="0"/>
          <w:i w:val="0"/>
          <w:iCs w:val="0"/>
          <w:sz w:val="20"/>
          <w:szCs w:val="20"/>
          <w:lang w:val="en-US" w:eastAsia="zh-CN"/>
        </w:rPr>
        <w:t>Based on our understanding, although the BS location accuracy may not impact the signaling design in RAN2, it is still benefit to have a common understanding in RAN4. If RAN2 need this information, we can sent the information in time.</w:t>
      </w:r>
    </w:p>
    <w:p>
      <w:pPr>
        <w:tabs>
          <w:tab w:val="left" w:pos="1134"/>
        </w:tabs>
        <w:spacing w:before="60"/>
        <w:jc w:val="both"/>
        <w:rPr>
          <w:rFonts w:hint="default"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1</w:t>
      </w:r>
      <w:r>
        <w:rPr>
          <w:rFonts w:eastAsia="等线"/>
          <w:b/>
          <w:bCs/>
          <w:i/>
          <w:iCs/>
          <w:sz w:val="20"/>
          <w:szCs w:val="20"/>
        </w:rPr>
        <w:t xml:space="preserve">: </w:t>
      </w:r>
      <w:r>
        <w:rPr>
          <w:rFonts w:hint="eastAsia" w:eastAsia="等线"/>
          <w:b/>
          <w:bCs/>
          <w:i/>
          <w:iCs/>
          <w:sz w:val="20"/>
          <w:szCs w:val="20"/>
          <w:lang w:val="en-US" w:eastAsia="zh-CN"/>
        </w:rPr>
        <w:t>Although BS location error may not impact the signaling design in RAN2, it is still benefit to have a common understanding in RAN4.</w:t>
      </w:r>
    </w:p>
    <w:bookmarkEnd w:id="6"/>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Based on the discussion above, the following</w:t>
      </w:r>
      <w:r>
        <w:rPr>
          <w:rFonts w:hint="eastAsia"/>
          <w:sz w:val="20"/>
          <w:szCs w:val="20"/>
          <w:lang w:val="en-US" w:eastAsia="zh-CN"/>
        </w:rPr>
        <w:t xml:space="preserve"> observations and</w:t>
      </w:r>
      <w:r>
        <w:rPr>
          <w:sz w:val="20"/>
          <w:szCs w:val="20"/>
        </w:rPr>
        <w:t xml:space="preserve"> proposals are concluded. </w:t>
      </w:r>
      <w:bookmarkEnd w:id="7"/>
      <w:bookmarkEnd w:id="8"/>
    </w:p>
    <w:p>
      <w:pPr>
        <w:autoSpaceDN w:val="0"/>
        <w:spacing w:before="60"/>
        <w:jc w:val="both"/>
        <w:rPr>
          <w:rFonts w:hint="default" w:eastAsia="宋体"/>
          <w:b/>
          <w:bCs/>
          <w:i/>
          <w:iCs/>
          <w:sz w:val="20"/>
          <w:szCs w:val="20"/>
          <w:lang w:val="en-US" w:eastAsia="zh-CN"/>
        </w:rPr>
      </w:pPr>
      <w:r>
        <w:rPr>
          <w:rFonts w:hint="eastAsia" w:eastAsia="宋体"/>
          <w:b/>
          <w:bCs/>
          <w:i/>
          <w:iCs/>
          <w:sz w:val="20"/>
          <w:szCs w:val="20"/>
          <w:lang w:val="en-US" w:eastAsia="zh-CN"/>
        </w:rPr>
        <w:t>Observation 1: From the perspective of frequency error:</w:t>
      </w:r>
    </w:p>
    <w:p>
      <w:pPr>
        <w:numPr>
          <w:ilvl w:val="0"/>
          <w:numId w:val="5"/>
        </w:numPr>
        <w:autoSpaceDN w:val="0"/>
        <w:spacing w:before="60"/>
        <w:ind w:left="420" w:leftChars="0" w:hanging="420" w:firstLineChars="0"/>
        <w:jc w:val="both"/>
        <w:rPr>
          <w:rFonts w:hint="eastAsia" w:eastAsia="宋体"/>
          <w:b/>
          <w:bCs/>
          <w:i/>
          <w:iCs/>
          <w:sz w:val="20"/>
          <w:szCs w:val="20"/>
          <w:lang w:val="en-US" w:eastAsia="zh-CN"/>
        </w:rPr>
      </w:pPr>
      <w:r>
        <w:rPr>
          <w:rFonts w:hint="eastAsia" w:eastAsia="宋体"/>
          <w:b/>
          <w:bCs/>
          <w:i/>
          <w:iCs/>
          <w:sz w:val="20"/>
          <w:szCs w:val="20"/>
          <w:lang w:val="en-US" w:eastAsia="zh-CN"/>
        </w:rPr>
        <w:t>for the case of long PRACH format and non-sub-array antenna, the error of indicated BS location should be within 2km for 2GHz, and 0.72km for 4GHz.</w:t>
      </w:r>
    </w:p>
    <w:p>
      <w:pPr>
        <w:numPr>
          <w:ilvl w:val="0"/>
          <w:numId w:val="5"/>
        </w:numPr>
        <w:autoSpaceDN w:val="0"/>
        <w:spacing w:before="60"/>
        <w:ind w:left="420" w:leftChars="0" w:hanging="420" w:firstLineChars="0"/>
        <w:jc w:val="both"/>
        <w:rPr>
          <w:rFonts w:hint="eastAsia" w:eastAsia="宋体"/>
          <w:b/>
          <w:bCs/>
          <w:i/>
          <w:iCs/>
          <w:sz w:val="20"/>
          <w:szCs w:val="20"/>
          <w:lang w:val="en-US" w:eastAsia="zh-CN"/>
        </w:rPr>
      </w:pPr>
      <w:r>
        <w:rPr>
          <w:rFonts w:hint="eastAsia" w:eastAsia="宋体"/>
          <w:b/>
          <w:bCs/>
          <w:i/>
          <w:iCs/>
          <w:sz w:val="20"/>
          <w:szCs w:val="20"/>
          <w:lang w:val="en-US" w:eastAsia="zh-CN"/>
        </w:rPr>
        <w:t>for the case of long PRACH format and sub-array antenna, the error of indicated BS location should be within 9.32km for 2GHz, and 2km for 4GHz.</w:t>
      </w:r>
    </w:p>
    <w:p>
      <w:pPr>
        <w:autoSpaceDN w:val="0"/>
        <w:spacing w:before="60"/>
        <w:jc w:val="both"/>
        <w:rPr>
          <w:rFonts w:hint="eastAsia" w:eastAsia="宋体"/>
          <w:b/>
          <w:bCs/>
          <w:i/>
          <w:iCs/>
          <w:sz w:val="20"/>
          <w:szCs w:val="20"/>
          <w:lang w:val="en-US" w:eastAsia="zh-CN"/>
        </w:rPr>
      </w:pPr>
      <w:r>
        <w:rPr>
          <w:rFonts w:hint="eastAsia" w:eastAsia="宋体"/>
          <w:b/>
          <w:bCs/>
          <w:i/>
          <w:iCs/>
          <w:sz w:val="20"/>
          <w:szCs w:val="20"/>
          <w:lang w:val="en-US" w:eastAsia="zh-CN"/>
        </w:rPr>
        <w:t>Observation 2: From the perspective of frequency error:</w:t>
      </w:r>
    </w:p>
    <w:p>
      <w:pPr>
        <w:numPr>
          <w:ilvl w:val="0"/>
          <w:numId w:val="5"/>
        </w:numPr>
        <w:autoSpaceDN w:val="0"/>
        <w:spacing w:before="60"/>
        <w:ind w:left="420" w:leftChars="0" w:hanging="420" w:firstLineChars="0"/>
        <w:jc w:val="both"/>
        <w:rPr>
          <w:rFonts w:hint="default" w:eastAsia="宋体"/>
          <w:sz w:val="20"/>
          <w:szCs w:val="20"/>
          <w:lang w:val="en-US" w:eastAsia="zh-CN"/>
        </w:rPr>
      </w:pPr>
      <w:r>
        <w:rPr>
          <w:rFonts w:hint="eastAsia" w:eastAsia="宋体"/>
          <w:b/>
          <w:bCs/>
          <w:i/>
          <w:iCs/>
          <w:sz w:val="20"/>
          <w:szCs w:val="20"/>
          <w:lang w:val="en-US" w:eastAsia="zh-CN"/>
        </w:rPr>
        <w:t xml:space="preserve"> for the short PRACH format, the error of indicated BS location should be within 15km for sub-array antenna, and 6km for non-sub-array antenna.</w:t>
      </w:r>
    </w:p>
    <w:p>
      <w:pPr>
        <w:autoSpaceDN w:val="0"/>
        <w:spacing w:before="60"/>
        <w:jc w:val="both"/>
        <w:rPr>
          <w:rFonts w:hint="eastAsia" w:eastAsia="宋体"/>
          <w:b/>
          <w:bCs/>
          <w:i/>
          <w:iCs/>
          <w:sz w:val="20"/>
          <w:szCs w:val="20"/>
          <w:lang w:val="en-US" w:eastAsia="zh-CN"/>
        </w:rPr>
      </w:pPr>
      <w:r>
        <w:rPr>
          <w:rFonts w:hint="eastAsia" w:eastAsia="宋体"/>
          <w:b/>
          <w:bCs/>
          <w:i/>
          <w:iCs/>
          <w:sz w:val="20"/>
          <w:szCs w:val="20"/>
          <w:lang w:val="en-US" w:eastAsia="zh-CN"/>
        </w:rPr>
        <w:t>Observation 3: For DL/UL 15kHz SCS, the maximum error tolerance of indicated BS location is about 3.9km. The tolerance is related to PRACH preamble format, longer CP length allows larger uncertainty.</w:t>
      </w:r>
    </w:p>
    <w:p>
      <w:pPr>
        <w:autoSpaceDN w:val="0"/>
        <w:spacing w:before="60"/>
        <w:jc w:val="both"/>
        <w:rPr>
          <w:rFonts w:hint="default" w:eastAsia="宋体"/>
          <w:b/>
          <w:bCs/>
          <w:i/>
          <w:iCs/>
          <w:sz w:val="20"/>
          <w:szCs w:val="20"/>
          <w:lang w:val="en-US" w:eastAsia="zh-CN"/>
        </w:rPr>
      </w:pPr>
      <w:r>
        <w:rPr>
          <w:rFonts w:hint="eastAsia" w:eastAsia="宋体"/>
          <w:b/>
          <w:bCs/>
          <w:i/>
          <w:iCs/>
          <w:sz w:val="20"/>
          <w:szCs w:val="20"/>
          <w:lang w:val="en-US" w:eastAsia="zh-CN"/>
        </w:rPr>
        <w:t>Observation 4: For DL/UL 30kHz SCS, the maximum error tolerance of indicated BS location is about 1.9km. The tolerance is related to PRACH preamble format, longer CP length allows larger uncertainty.</w:t>
      </w:r>
    </w:p>
    <w:p>
      <w:pPr>
        <w:autoSpaceDN w:val="0"/>
        <w:spacing w:before="60"/>
        <w:jc w:val="both"/>
        <w:rPr>
          <w:rFonts w:hint="eastAsia" w:eastAsia="宋体"/>
          <w:b/>
          <w:bCs/>
          <w:i/>
          <w:iCs/>
          <w:sz w:val="20"/>
          <w:szCs w:val="20"/>
          <w:lang w:val="en-US" w:eastAsia="zh-CN"/>
        </w:rPr>
      </w:pPr>
      <w:r>
        <w:rPr>
          <w:rFonts w:hint="eastAsia" w:eastAsia="宋体"/>
          <w:b/>
          <w:bCs/>
          <w:i/>
          <w:iCs/>
          <w:sz w:val="20"/>
          <w:szCs w:val="20"/>
          <w:lang w:val="en-US" w:eastAsia="zh-CN"/>
        </w:rPr>
        <w:t>Observation 5: For long PRACH format of 1.25kHz SCS, the maximum error tolerance of indicated BS location is about 40km. The tolerance is related to PRACH preamble format, longer CP length allows larger uncertainty.</w:t>
      </w:r>
    </w:p>
    <w:p>
      <w:pPr>
        <w:autoSpaceDN w:val="0"/>
        <w:spacing w:before="60"/>
        <w:jc w:val="both"/>
        <w:rPr>
          <w:rFonts w:hint="eastAsia" w:eastAsia="宋体"/>
          <w:b/>
          <w:bCs/>
          <w:i/>
          <w:iCs/>
          <w:sz w:val="20"/>
          <w:szCs w:val="20"/>
          <w:lang w:val="en-US" w:eastAsia="zh-CN"/>
        </w:rPr>
      </w:pPr>
      <w:r>
        <w:rPr>
          <w:rFonts w:hint="eastAsia" w:eastAsia="宋体"/>
          <w:b/>
          <w:bCs/>
          <w:i/>
          <w:iCs/>
          <w:sz w:val="20"/>
          <w:szCs w:val="20"/>
          <w:lang w:val="en-US" w:eastAsia="zh-CN"/>
        </w:rPr>
        <w:t xml:space="preserve">Observation 6: For long PRACH format of 1.25kHz SCS, the bottleneck of error tolerance of indicated BS location is frequency error budget. </w:t>
      </w:r>
    </w:p>
    <w:p>
      <w:pPr>
        <w:numPr>
          <w:ilvl w:val="0"/>
          <w:numId w:val="5"/>
        </w:numPr>
        <w:autoSpaceDN w:val="0"/>
        <w:spacing w:before="60"/>
        <w:ind w:left="420" w:leftChars="0" w:hanging="420" w:firstLineChars="0"/>
        <w:jc w:val="both"/>
        <w:rPr>
          <w:rFonts w:hint="eastAsia" w:eastAsia="宋体"/>
          <w:b/>
          <w:bCs/>
          <w:i/>
          <w:iCs/>
          <w:sz w:val="20"/>
          <w:szCs w:val="20"/>
          <w:lang w:val="en-US" w:eastAsia="zh-CN"/>
        </w:rPr>
      </w:pPr>
      <w:r>
        <w:rPr>
          <w:rFonts w:hint="eastAsia" w:eastAsia="宋体"/>
          <w:b/>
          <w:bCs/>
          <w:i/>
          <w:iCs/>
          <w:sz w:val="20"/>
          <w:szCs w:val="20"/>
          <w:lang w:val="en-US" w:eastAsia="zh-CN"/>
        </w:rPr>
        <w:t>Sub-array antenna allows larger uncertainty compared with non-sub-array antenna.</w:t>
      </w:r>
    </w:p>
    <w:p>
      <w:pPr>
        <w:numPr>
          <w:ilvl w:val="0"/>
          <w:numId w:val="5"/>
        </w:numPr>
        <w:autoSpaceDN w:val="0"/>
        <w:spacing w:before="60"/>
        <w:ind w:left="420" w:leftChars="0" w:hanging="420" w:firstLineChars="0"/>
        <w:jc w:val="both"/>
        <w:rPr>
          <w:rFonts w:hint="default" w:eastAsia="宋体"/>
          <w:b/>
          <w:bCs/>
          <w:i/>
          <w:iCs/>
          <w:sz w:val="20"/>
          <w:szCs w:val="20"/>
          <w:lang w:val="en-US" w:eastAsia="zh-CN"/>
        </w:rPr>
      </w:pPr>
      <w:r>
        <w:rPr>
          <w:rFonts w:hint="eastAsia" w:eastAsia="宋体"/>
          <w:b/>
          <w:bCs/>
          <w:i/>
          <w:iCs/>
          <w:sz w:val="20"/>
          <w:szCs w:val="20"/>
          <w:lang w:val="en-US" w:eastAsia="zh-CN"/>
        </w:rPr>
        <w:t>Lower frequency allows larger uncertainty.</w:t>
      </w:r>
    </w:p>
    <w:p>
      <w:pPr>
        <w:autoSpaceDN w:val="0"/>
        <w:spacing w:before="60"/>
        <w:jc w:val="both"/>
        <w:rPr>
          <w:rFonts w:hint="eastAsia" w:eastAsia="宋体"/>
          <w:b/>
          <w:bCs/>
          <w:i/>
          <w:iCs/>
          <w:sz w:val="20"/>
          <w:szCs w:val="20"/>
          <w:lang w:val="en-US" w:eastAsia="zh-CN"/>
        </w:rPr>
      </w:pPr>
      <w:r>
        <w:rPr>
          <w:rFonts w:hint="eastAsia" w:eastAsia="宋体"/>
          <w:b/>
          <w:bCs/>
          <w:i/>
          <w:iCs/>
          <w:sz w:val="20"/>
          <w:szCs w:val="20"/>
          <w:lang w:val="en-US" w:eastAsia="zh-CN"/>
        </w:rPr>
        <w:t xml:space="preserve">Observation 7: For short PRACH format of 15kHz and 30kHz SCS, the bottleneck of error tolerance of indicated BS location is timing error budget. </w:t>
      </w:r>
    </w:p>
    <w:p>
      <w:pPr>
        <w:numPr>
          <w:ilvl w:val="0"/>
          <w:numId w:val="5"/>
        </w:numPr>
        <w:autoSpaceDN w:val="0"/>
        <w:spacing w:before="60"/>
        <w:ind w:left="420" w:leftChars="0" w:hanging="420" w:firstLineChars="0"/>
        <w:jc w:val="both"/>
        <w:rPr>
          <w:rFonts w:eastAsia="等线"/>
          <w:b/>
          <w:bCs/>
          <w:i/>
          <w:iCs/>
          <w:sz w:val="20"/>
          <w:szCs w:val="20"/>
        </w:rPr>
      </w:pPr>
      <w:r>
        <w:rPr>
          <w:rFonts w:hint="eastAsia" w:eastAsia="宋体"/>
          <w:b/>
          <w:bCs/>
          <w:i/>
          <w:iCs/>
          <w:sz w:val="20"/>
          <w:szCs w:val="20"/>
          <w:lang w:val="en-US" w:eastAsia="zh-CN"/>
        </w:rPr>
        <w:t>Longer CP length allows larger uncertainty.</w:t>
      </w:r>
    </w:p>
    <w:p>
      <w:pPr>
        <w:numPr>
          <w:ilvl w:val="0"/>
          <w:numId w:val="0"/>
        </w:numPr>
        <w:autoSpaceDN w:val="0"/>
        <w:spacing w:before="60"/>
        <w:jc w:val="both"/>
        <w:rPr>
          <w:rFonts w:hint="default" w:eastAsia="等线"/>
          <w:b/>
          <w:bCs/>
          <w:i/>
          <w:iCs/>
          <w:sz w:val="20"/>
          <w:szCs w:val="20"/>
          <w:lang w:val="en-US"/>
        </w:rPr>
      </w:pPr>
      <w:r>
        <w:rPr>
          <w:rFonts w:hint="eastAsia" w:eastAsia="宋体"/>
          <w:b/>
          <w:bCs/>
          <w:i/>
          <w:iCs/>
          <w:sz w:val="20"/>
          <w:szCs w:val="20"/>
          <w:lang w:val="en-US" w:eastAsia="zh-CN"/>
        </w:rPr>
        <w:t>Observation 8: From a comprehensive perspective of timing error budget and frequency error budget, the BS reference location error should be within 3.9km. The exact accuracy in each specific case is attached in the attachment.</w:t>
      </w:r>
    </w:p>
    <w:p>
      <w:pPr>
        <w:tabs>
          <w:tab w:val="left" w:pos="1134"/>
        </w:tabs>
        <w:spacing w:before="60"/>
        <w:jc w:val="both"/>
        <w:rPr>
          <w:rFonts w:hint="default"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1</w:t>
      </w:r>
      <w:r>
        <w:rPr>
          <w:rFonts w:eastAsia="等线"/>
          <w:b/>
          <w:bCs/>
          <w:i/>
          <w:iCs/>
          <w:sz w:val="20"/>
          <w:szCs w:val="20"/>
        </w:rPr>
        <w:t xml:space="preserve">: </w:t>
      </w:r>
      <w:r>
        <w:rPr>
          <w:rFonts w:hint="eastAsia" w:eastAsia="等线"/>
          <w:b/>
          <w:bCs/>
          <w:i/>
          <w:iCs/>
          <w:sz w:val="20"/>
          <w:szCs w:val="20"/>
          <w:lang w:val="en-US" w:eastAsia="zh-CN"/>
        </w:rPr>
        <w:t>Although BS location error may not impact the signaling design in RAN2, it is still benefit to have a common understanding in RAN4.</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bookmarkStart w:id="10" w:name="_GoBack"/>
      <w:bookmarkEnd w:id="10"/>
      <w:r>
        <w:rPr>
          <w:rFonts w:ascii="Times New Roman" w:hAnsi="Times New Roman"/>
          <w:b w:val="0"/>
          <w:bCs w:val="0"/>
          <w:kern w:val="0"/>
          <w:sz w:val="36"/>
          <w:szCs w:val="36"/>
          <w:lang w:val="en-GB"/>
        </w:rPr>
        <w:t>Reference</w:t>
      </w:r>
    </w:p>
    <w:p>
      <w:pPr>
        <w:rPr>
          <w:sz w:val="20"/>
          <w:szCs w:val="20"/>
          <w:lang w:val="en-GB"/>
        </w:rPr>
      </w:pPr>
      <w:r>
        <w:rPr>
          <w:rFonts w:hint="eastAsia"/>
          <w:sz w:val="20"/>
          <w:szCs w:val="20"/>
          <w:lang w:val="en-GB"/>
        </w:rPr>
        <w:t>[</w:t>
      </w:r>
      <w:r>
        <w:rPr>
          <w:rFonts w:hint="eastAsia"/>
          <w:sz w:val="20"/>
          <w:szCs w:val="20"/>
          <w:lang w:val="en-US" w:eastAsia="zh-CN"/>
        </w:rPr>
        <w:t>1</w:t>
      </w:r>
      <w:r>
        <w:rPr>
          <w:sz w:val="20"/>
          <w:szCs w:val="20"/>
          <w:lang w:val="en-GB"/>
        </w:rPr>
        <w:t>]</w:t>
      </w:r>
      <w:r>
        <w:t xml:space="preserve"> </w:t>
      </w:r>
      <w:r>
        <w:rPr>
          <w:sz w:val="20"/>
          <w:szCs w:val="20"/>
          <w:lang w:val="en-GB"/>
        </w:rPr>
        <w:t>R2-2304565, Reply LS on applicability of SIB19 for NR ATG, RAN2</w:t>
      </w:r>
    </w:p>
    <w:p>
      <w:pPr>
        <w:rPr>
          <w:rFonts w:hint="eastAsia"/>
          <w:sz w:val="20"/>
          <w:szCs w:val="20"/>
          <w:lang w:val="en-GB"/>
        </w:rPr>
      </w:pPr>
      <w:r>
        <w:rPr>
          <w:rFonts w:hint="eastAsia"/>
          <w:sz w:val="20"/>
          <w:szCs w:val="20"/>
          <w:lang w:val="en-GB"/>
        </w:rPr>
        <w:t>[</w:t>
      </w:r>
      <w:r>
        <w:rPr>
          <w:rFonts w:hint="eastAsia"/>
          <w:sz w:val="20"/>
          <w:szCs w:val="20"/>
          <w:lang w:val="en-US" w:eastAsia="zh-CN"/>
        </w:rPr>
        <w:t>2</w:t>
      </w:r>
      <w:r>
        <w:rPr>
          <w:sz w:val="20"/>
          <w:szCs w:val="20"/>
          <w:lang w:val="en-GB"/>
        </w:rPr>
        <w:t>] R4-23</w:t>
      </w:r>
      <w:r>
        <w:rPr>
          <w:rFonts w:hint="eastAsia"/>
          <w:sz w:val="20"/>
          <w:szCs w:val="20"/>
          <w:lang w:val="en-US" w:eastAsia="zh-CN"/>
        </w:rPr>
        <w:t>10058</w:t>
      </w:r>
      <w:r>
        <w:rPr>
          <w:sz w:val="20"/>
          <w:szCs w:val="20"/>
          <w:lang w:val="en-GB"/>
        </w:rPr>
        <w:t xml:space="preserve">, </w:t>
      </w:r>
      <w:r>
        <w:rPr>
          <w:rFonts w:hint="eastAsia"/>
          <w:sz w:val="20"/>
          <w:szCs w:val="20"/>
          <w:lang w:val="en-GB"/>
        </w:rPr>
        <w:t>Reply LS on applicability of SIB19 for NR ATG</w:t>
      </w:r>
    </w:p>
    <w:p>
      <w:pPr>
        <w:pStyle w:val="2"/>
        <w:numPr>
          <w:ilvl w:val="0"/>
          <w:numId w:val="3"/>
        </w:numPr>
        <w:pBdr>
          <w:top w:val="single" w:color="auto" w:sz="12" w:space="3"/>
        </w:pBdr>
        <w:spacing w:before="120" w:after="60" w:line="240" w:lineRule="auto"/>
        <w:rPr>
          <w:rFonts w:hint="default" w:ascii="Times New Roman" w:hAnsi="Times New Roman"/>
          <w:b w:val="0"/>
          <w:bCs w:val="0"/>
          <w:kern w:val="0"/>
          <w:sz w:val="36"/>
          <w:szCs w:val="36"/>
          <w:lang w:val="en-US" w:eastAsia="zh-CN"/>
        </w:rPr>
      </w:pPr>
      <w:r>
        <w:rPr>
          <w:rFonts w:hint="eastAsia" w:ascii="Times New Roman" w:hAnsi="Times New Roman"/>
          <w:b w:val="0"/>
          <w:bCs w:val="0"/>
          <w:kern w:val="0"/>
          <w:sz w:val="36"/>
          <w:szCs w:val="36"/>
          <w:lang w:val="en-US" w:eastAsia="zh-CN"/>
        </w:rPr>
        <w:t>Annex:</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4"/>
        <w:gridCol w:w="2488"/>
        <w:gridCol w:w="4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tcPr>
          <w:p>
            <w:pPr>
              <w:numPr>
                <w:ilvl w:val="0"/>
                <w:numId w:val="0"/>
              </w:numPr>
              <w:tabs>
                <w:tab w:val="left" w:pos="4430"/>
              </w:tabs>
              <w:rPr>
                <w:rFonts w:hint="default" w:ascii="Times New Roman" w:hAnsi="Times New Roman" w:eastAsia="等线" w:cs="Times New Roman"/>
                <w:b/>
                <w:sz w:val="20"/>
                <w:vertAlign w:val="baseline"/>
                <w:lang w:val="en-US" w:eastAsia="zh-CN"/>
              </w:rPr>
            </w:pPr>
            <w:bookmarkStart w:id="9" w:name="_Hlk134973178"/>
            <w:r>
              <w:rPr>
                <w:rFonts w:hint="default" w:ascii="Times New Roman" w:hAnsi="Times New Roman" w:eastAsia="等线" w:cs="Times New Roman"/>
                <w:i w:val="0"/>
                <w:iCs w:val="0"/>
                <w:color w:val="000000"/>
                <w:kern w:val="0"/>
                <w:sz w:val="22"/>
                <w:szCs w:val="22"/>
                <w:u w:val="none"/>
                <w:lang w:val="en-US" w:eastAsia="zh-CN" w:bidi="ar"/>
              </w:rPr>
              <w:t>PRACH Format</w:t>
            </w:r>
          </w:p>
        </w:tc>
        <w:tc>
          <w:tcPr>
            <w:tcW w:w="2488"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SCS of PRACH(kHz)</w:t>
            </w:r>
          </w:p>
        </w:tc>
        <w:tc>
          <w:tcPr>
            <w:tcW w:w="4977" w:type="dxa"/>
          </w:tcPr>
          <w:p>
            <w:pPr>
              <w:numPr>
                <w:ilvl w:val="0"/>
                <w:numId w:val="0"/>
              </w:numPr>
              <w:tabs>
                <w:tab w:val="left" w:pos="4430"/>
              </w:tabs>
              <w:rPr>
                <w:rFonts w:hint="default" w:ascii="Times New Roman" w:hAnsi="Times New Roman" w:eastAsia="等线" w:cs="Times New Roman"/>
                <w:b/>
                <w:sz w:val="20"/>
                <w:vertAlign w:val="baseline"/>
                <w:lang w:val="en-US" w:eastAsia="zh-CN"/>
              </w:rPr>
            </w:pPr>
            <w:r>
              <w:rPr>
                <w:rFonts w:hint="default" w:ascii="Times New Roman" w:hAnsi="Times New Roman" w:eastAsia="等线" w:cs="Times New Roman"/>
                <w:i w:val="0"/>
                <w:iCs w:val="0"/>
                <w:color w:val="000000"/>
                <w:kern w:val="0"/>
                <w:sz w:val="22"/>
                <w:szCs w:val="22"/>
                <w:u w:val="none"/>
                <w:lang w:val="en-US" w:eastAsia="zh-CN" w:bidi="ar"/>
              </w:rPr>
              <w:t>Total D error tolerated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vMerge w:val="restart"/>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A1</w:t>
            </w:r>
          </w:p>
        </w:tc>
        <w:tc>
          <w:tcPr>
            <w:tcW w:w="2488"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15</w:t>
            </w:r>
          </w:p>
        </w:tc>
        <w:tc>
          <w:tcPr>
            <w:tcW w:w="4977"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464.8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vMerge w:val="continue"/>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p>
        </w:tc>
        <w:tc>
          <w:tcPr>
            <w:tcW w:w="2488"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30</w:t>
            </w:r>
          </w:p>
        </w:tc>
        <w:tc>
          <w:tcPr>
            <w:tcW w:w="4977"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203.1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vMerge w:val="restart"/>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A2</w:t>
            </w:r>
          </w:p>
        </w:tc>
        <w:tc>
          <w:tcPr>
            <w:tcW w:w="2488"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15</w:t>
            </w:r>
          </w:p>
        </w:tc>
        <w:tc>
          <w:tcPr>
            <w:tcW w:w="4977"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1027.3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vMerge w:val="continue"/>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p>
        </w:tc>
        <w:tc>
          <w:tcPr>
            <w:tcW w:w="2488"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30</w:t>
            </w:r>
          </w:p>
        </w:tc>
        <w:tc>
          <w:tcPr>
            <w:tcW w:w="4977"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484.4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vMerge w:val="restart"/>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A3</w:t>
            </w:r>
          </w:p>
        </w:tc>
        <w:tc>
          <w:tcPr>
            <w:tcW w:w="2488"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15</w:t>
            </w:r>
          </w:p>
        </w:tc>
        <w:tc>
          <w:tcPr>
            <w:tcW w:w="4977"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1589.8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vMerge w:val="continue"/>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p>
        </w:tc>
        <w:tc>
          <w:tcPr>
            <w:tcW w:w="2488"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30</w:t>
            </w:r>
          </w:p>
        </w:tc>
        <w:tc>
          <w:tcPr>
            <w:tcW w:w="4977"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765.6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vMerge w:val="restart"/>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B1</w:t>
            </w:r>
          </w:p>
        </w:tc>
        <w:tc>
          <w:tcPr>
            <w:tcW w:w="2488"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15</w:t>
            </w:r>
          </w:p>
        </w:tc>
        <w:tc>
          <w:tcPr>
            <w:tcW w:w="4977"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324.2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vMerge w:val="continue"/>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p>
        </w:tc>
        <w:tc>
          <w:tcPr>
            <w:tcW w:w="2488"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30</w:t>
            </w:r>
          </w:p>
        </w:tc>
        <w:tc>
          <w:tcPr>
            <w:tcW w:w="4977"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132.8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vMerge w:val="restart"/>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B2</w:t>
            </w:r>
          </w:p>
        </w:tc>
        <w:tc>
          <w:tcPr>
            <w:tcW w:w="2488"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15</w:t>
            </w:r>
          </w:p>
        </w:tc>
        <w:tc>
          <w:tcPr>
            <w:tcW w:w="4977"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605.5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vMerge w:val="continue"/>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p>
        </w:tc>
        <w:tc>
          <w:tcPr>
            <w:tcW w:w="2488"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30</w:t>
            </w:r>
          </w:p>
        </w:tc>
        <w:tc>
          <w:tcPr>
            <w:tcW w:w="4977"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273.4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vMerge w:val="restart"/>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B3</w:t>
            </w:r>
          </w:p>
        </w:tc>
        <w:tc>
          <w:tcPr>
            <w:tcW w:w="2488"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15</w:t>
            </w:r>
          </w:p>
        </w:tc>
        <w:tc>
          <w:tcPr>
            <w:tcW w:w="4977"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886.7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vMerge w:val="continue"/>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p>
        </w:tc>
        <w:tc>
          <w:tcPr>
            <w:tcW w:w="2488"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30</w:t>
            </w:r>
          </w:p>
        </w:tc>
        <w:tc>
          <w:tcPr>
            <w:tcW w:w="4977"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414.1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vMerge w:val="restart"/>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B4</w:t>
            </w:r>
          </w:p>
        </w:tc>
        <w:tc>
          <w:tcPr>
            <w:tcW w:w="2488"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15</w:t>
            </w:r>
          </w:p>
        </w:tc>
        <w:tc>
          <w:tcPr>
            <w:tcW w:w="4977"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1730.5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vMerge w:val="continue"/>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p>
        </w:tc>
        <w:tc>
          <w:tcPr>
            <w:tcW w:w="2488"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30</w:t>
            </w:r>
          </w:p>
        </w:tc>
        <w:tc>
          <w:tcPr>
            <w:tcW w:w="4977"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835.9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vMerge w:val="restart"/>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C0</w:t>
            </w:r>
          </w:p>
        </w:tc>
        <w:tc>
          <w:tcPr>
            <w:tcW w:w="2488"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15</w:t>
            </w:r>
          </w:p>
        </w:tc>
        <w:tc>
          <w:tcPr>
            <w:tcW w:w="4977"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2324.2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vMerge w:val="continue"/>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p>
        </w:tc>
        <w:tc>
          <w:tcPr>
            <w:tcW w:w="2488"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30</w:t>
            </w:r>
          </w:p>
        </w:tc>
        <w:tc>
          <w:tcPr>
            <w:tcW w:w="4977"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1132.8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vMerge w:val="restart"/>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C1</w:t>
            </w:r>
          </w:p>
        </w:tc>
        <w:tc>
          <w:tcPr>
            <w:tcW w:w="2488"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15</w:t>
            </w:r>
          </w:p>
        </w:tc>
        <w:tc>
          <w:tcPr>
            <w:tcW w:w="4977"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3902.3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vMerge w:val="continue"/>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p>
        </w:tc>
        <w:tc>
          <w:tcPr>
            <w:tcW w:w="2488"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30</w:t>
            </w:r>
          </w:p>
        </w:tc>
        <w:tc>
          <w:tcPr>
            <w:tcW w:w="4977"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1921.9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0,1,2,3</w:t>
            </w:r>
          </w:p>
        </w:tc>
        <w:tc>
          <w:tcPr>
            <w:tcW w:w="2488"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1.25</w:t>
            </w:r>
          </w:p>
        </w:tc>
        <w:tc>
          <w:tcPr>
            <w:tcW w:w="4977" w:type="dxa"/>
          </w:tcPr>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for the case of BS non-sub-array antenna model, 2km for 2GHz, and 0.72km for 4GHz.</w:t>
            </w:r>
          </w:p>
          <w:p>
            <w:pPr>
              <w:numPr>
                <w:ilvl w:val="0"/>
                <w:numId w:val="0"/>
              </w:numPr>
              <w:tabs>
                <w:tab w:val="left" w:pos="4430"/>
              </w:tabs>
              <w:rPr>
                <w:rFonts w:hint="default" w:ascii="Times New Roman" w:hAnsi="Times New Roman" w:eastAsia="等线" w:cs="Times New Roman"/>
                <w:i w:val="0"/>
                <w:iCs w:val="0"/>
                <w:color w:val="000000"/>
                <w:kern w:val="0"/>
                <w:sz w:val="22"/>
                <w:szCs w:val="22"/>
                <w:u w:val="none"/>
                <w:lang w:val="en-US" w:eastAsia="zh-CN" w:bidi="ar"/>
              </w:rPr>
            </w:pPr>
            <w:r>
              <w:rPr>
                <w:rFonts w:hint="default" w:ascii="Times New Roman" w:hAnsi="Times New Roman" w:eastAsia="等线" w:cs="Times New Roman"/>
                <w:i w:val="0"/>
                <w:iCs w:val="0"/>
                <w:color w:val="000000"/>
                <w:kern w:val="0"/>
                <w:sz w:val="22"/>
                <w:szCs w:val="22"/>
                <w:u w:val="none"/>
                <w:lang w:val="en-US" w:eastAsia="zh-CN" w:bidi="ar"/>
              </w:rPr>
              <w:t>for the case of BS sub-array antenna model, 9.32km for 2GHz, and 2km for 4GHz.</w:t>
            </w:r>
          </w:p>
        </w:tc>
      </w:tr>
      <w:bookmarkEnd w:id="9"/>
    </w:tbl>
    <w:p>
      <w:pPr>
        <w:rPr>
          <w:sz w:val="20"/>
          <w:szCs w:val="20"/>
          <w:lang w:val="en-GB"/>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397532"/>
    <w:multiLevelType w:val="singleLevel"/>
    <w:tmpl w:val="BA397532"/>
    <w:lvl w:ilvl="0" w:tentative="0">
      <w:start w:val="1"/>
      <w:numFmt w:val="bullet"/>
      <w:lvlText w:val=""/>
      <w:lvlJc w:val="left"/>
      <w:pPr>
        <w:ind w:left="420" w:hanging="420"/>
      </w:pPr>
      <w:rPr>
        <w:rFonts w:hint="default" w:ascii="Wingdings" w:hAnsi="Wingdings"/>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D094C91"/>
    <w:multiLevelType w:val="multilevel"/>
    <w:tmpl w:val="3D094C9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6CDA2FB2"/>
    <w:multiLevelType w:val="multilevel"/>
    <w:tmpl w:val="6CDA2FB2"/>
    <w:lvl w:ilvl="0" w:tentative="0">
      <w:start w:val="1"/>
      <w:numFmt w:val="decimal"/>
      <w:pStyle w:val="52"/>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BAB"/>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276"/>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06"/>
    <w:rsid w:val="000243F4"/>
    <w:rsid w:val="00024787"/>
    <w:rsid w:val="00024D97"/>
    <w:rsid w:val="00024F7A"/>
    <w:rsid w:val="00025909"/>
    <w:rsid w:val="00025EF6"/>
    <w:rsid w:val="0002608D"/>
    <w:rsid w:val="0002646D"/>
    <w:rsid w:val="0002649D"/>
    <w:rsid w:val="000267E9"/>
    <w:rsid w:val="00026845"/>
    <w:rsid w:val="00026B95"/>
    <w:rsid w:val="000272EA"/>
    <w:rsid w:val="0002730A"/>
    <w:rsid w:val="00030084"/>
    <w:rsid w:val="00030C32"/>
    <w:rsid w:val="00030EF0"/>
    <w:rsid w:val="00031292"/>
    <w:rsid w:val="000313A6"/>
    <w:rsid w:val="00031994"/>
    <w:rsid w:val="00031A05"/>
    <w:rsid w:val="00031FD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744"/>
    <w:rsid w:val="000618D3"/>
    <w:rsid w:val="000622C6"/>
    <w:rsid w:val="00062D76"/>
    <w:rsid w:val="00062DFE"/>
    <w:rsid w:val="00062F14"/>
    <w:rsid w:val="000631DB"/>
    <w:rsid w:val="00063204"/>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4D"/>
    <w:rsid w:val="00086392"/>
    <w:rsid w:val="00086643"/>
    <w:rsid w:val="00086AB0"/>
    <w:rsid w:val="00087358"/>
    <w:rsid w:val="00087412"/>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0A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082"/>
    <w:rsid w:val="000C741A"/>
    <w:rsid w:val="000C7A61"/>
    <w:rsid w:val="000C7CF8"/>
    <w:rsid w:val="000C7E6C"/>
    <w:rsid w:val="000D021C"/>
    <w:rsid w:val="000D0340"/>
    <w:rsid w:val="000D07E8"/>
    <w:rsid w:val="000D0A26"/>
    <w:rsid w:val="000D0D89"/>
    <w:rsid w:val="000D13B6"/>
    <w:rsid w:val="000D2178"/>
    <w:rsid w:val="000D23E3"/>
    <w:rsid w:val="000D2430"/>
    <w:rsid w:val="000D2A1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5E4E"/>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3DD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27E"/>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9CC"/>
    <w:rsid w:val="00117B58"/>
    <w:rsid w:val="001209D0"/>
    <w:rsid w:val="00120A7C"/>
    <w:rsid w:val="00120BBC"/>
    <w:rsid w:val="00120BBF"/>
    <w:rsid w:val="00120FE4"/>
    <w:rsid w:val="0012143C"/>
    <w:rsid w:val="00121637"/>
    <w:rsid w:val="001217EB"/>
    <w:rsid w:val="00121EC3"/>
    <w:rsid w:val="0012204C"/>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6F68"/>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BAF"/>
    <w:rsid w:val="00146CF0"/>
    <w:rsid w:val="00147024"/>
    <w:rsid w:val="00147722"/>
    <w:rsid w:val="001503FD"/>
    <w:rsid w:val="00150A5C"/>
    <w:rsid w:val="00150B92"/>
    <w:rsid w:val="00150D89"/>
    <w:rsid w:val="00152691"/>
    <w:rsid w:val="00152F28"/>
    <w:rsid w:val="001537AC"/>
    <w:rsid w:val="001538FF"/>
    <w:rsid w:val="001540A5"/>
    <w:rsid w:val="00154999"/>
    <w:rsid w:val="00154BD3"/>
    <w:rsid w:val="00154C8D"/>
    <w:rsid w:val="00154F4C"/>
    <w:rsid w:val="00155A79"/>
    <w:rsid w:val="00155F45"/>
    <w:rsid w:val="0015670D"/>
    <w:rsid w:val="001568A6"/>
    <w:rsid w:val="00156F80"/>
    <w:rsid w:val="00157515"/>
    <w:rsid w:val="001576E8"/>
    <w:rsid w:val="00157B4B"/>
    <w:rsid w:val="001602CC"/>
    <w:rsid w:val="00160BDE"/>
    <w:rsid w:val="001617A5"/>
    <w:rsid w:val="0016182B"/>
    <w:rsid w:val="00161846"/>
    <w:rsid w:val="0016218D"/>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DA2"/>
    <w:rsid w:val="00176EC3"/>
    <w:rsid w:val="001778D2"/>
    <w:rsid w:val="001802DD"/>
    <w:rsid w:val="00180907"/>
    <w:rsid w:val="00180AD6"/>
    <w:rsid w:val="00180CEB"/>
    <w:rsid w:val="00181321"/>
    <w:rsid w:val="001818D4"/>
    <w:rsid w:val="001819BA"/>
    <w:rsid w:val="00181A3F"/>
    <w:rsid w:val="00181E4E"/>
    <w:rsid w:val="00181F3F"/>
    <w:rsid w:val="001825C3"/>
    <w:rsid w:val="00182914"/>
    <w:rsid w:val="00182AA8"/>
    <w:rsid w:val="00182DE3"/>
    <w:rsid w:val="00183308"/>
    <w:rsid w:val="00183698"/>
    <w:rsid w:val="00183B31"/>
    <w:rsid w:val="001845D5"/>
    <w:rsid w:val="00184ECA"/>
    <w:rsid w:val="00185304"/>
    <w:rsid w:val="001853E7"/>
    <w:rsid w:val="00185BF8"/>
    <w:rsid w:val="00186291"/>
    <w:rsid w:val="001863C2"/>
    <w:rsid w:val="001866F3"/>
    <w:rsid w:val="00186A30"/>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0D26"/>
    <w:rsid w:val="001A1062"/>
    <w:rsid w:val="001A12DB"/>
    <w:rsid w:val="001A195A"/>
    <w:rsid w:val="001A2412"/>
    <w:rsid w:val="001A29CE"/>
    <w:rsid w:val="001A335E"/>
    <w:rsid w:val="001A3566"/>
    <w:rsid w:val="001A3D1F"/>
    <w:rsid w:val="001A3E2F"/>
    <w:rsid w:val="001A3EF5"/>
    <w:rsid w:val="001A4636"/>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3BC1"/>
    <w:rsid w:val="001B43C4"/>
    <w:rsid w:val="001B4501"/>
    <w:rsid w:val="001B5AEC"/>
    <w:rsid w:val="001B5B34"/>
    <w:rsid w:val="001B61DE"/>
    <w:rsid w:val="001B644F"/>
    <w:rsid w:val="001B65FB"/>
    <w:rsid w:val="001B6BE1"/>
    <w:rsid w:val="001B7404"/>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5EEC"/>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2A"/>
    <w:rsid w:val="001E1893"/>
    <w:rsid w:val="001E1A49"/>
    <w:rsid w:val="001E1C68"/>
    <w:rsid w:val="001E1DE4"/>
    <w:rsid w:val="001E27B6"/>
    <w:rsid w:val="001E2F68"/>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0FDB"/>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755"/>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5D17"/>
    <w:rsid w:val="002260D8"/>
    <w:rsid w:val="0022630F"/>
    <w:rsid w:val="00226E51"/>
    <w:rsid w:val="00227810"/>
    <w:rsid w:val="00230026"/>
    <w:rsid w:val="00230374"/>
    <w:rsid w:val="00230A16"/>
    <w:rsid w:val="00231160"/>
    <w:rsid w:val="00231318"/>
    <w:rsid w:val="0023136F"/>
    <w:rsid w:val="00231969"/>
    <w:rsid w:val="00231F63"/>
    <w:rsid w:val="002324BF"/>
    <w:rsid w:val="002326EF"/>
    <w:rsid w:val="00232B0E"/>
    <w:rsid w:val="00232C8C"/>
    <w:rsid w:val="00232D59"/>
    <w:rsid w:val="00233096"/>
    <w:rsid w:val="0023321A"/>
    <w:rsid w:val="00233862"/>
    <w:rsid w:val="00233E05"/>
    <w:rsid w:val="00233F6C"/>
    <w:rsid w:val="00234DDC"/>
    <w:rsid w:val="00234F0C"/>
    <w:rsid w:val="0023505A"/>
    <w:rsid w:val="002354BA"/>
    <w:rsid w:val="002355AD"/>
    <w:rsid w:val="00235720"/>
    <w:rsid w:val="0023577A"/>
    <w:rsid w:val="00235A49"/>
    <w:rsid w:val="00235F1D"/>
    <w:rsid w:val="00236987"/>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1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5E7"/>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0F6D"/>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5D4E"/>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5FC"/>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434"/>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1EA"/>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B2A"/>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9B1"/>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06A"/>
    <w:rsid w:val="00334151"/>
    <w:rsid w:val="003342BF"/>
    <w:rsid w:val="00334DF5"/>
    <w:rsid w:val="0033560E"/>
    <w:rsid w:val="00336AF9"/>
    <w:rsid w:val="0033776F"/>
    <w:rsid w:val="0033783F"/>
    <w:rsid w:val="00340EF0"/>
    <w:rsid w:val="00341416"/>
    <w:rsid w:val="00341493"/>
    <w:rsid w:val="00341EB1"/>
    <w:rsid w:val="0034213F"/>
    <w:rsid w:val="00342F2D"/>
    <w:rsid w:val="0034311C"/>
    <w:rsid w:val="0034364B"/>
    <w:rsid w:val="0034373B"/>
    <w:rsid w:val="00343CC0"/>
    <w:rsid w:val="00344118"/>
    <w:rsid w:val="0034465E"/>
    <w:rsid w:val="00344DF1"/>
    <w:rsid w:val="0034548A"/>
    <w:rsid w:val="00345577"/>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6E"/>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C42"/>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54"/>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641"/>
    <w:rsid w:val="00392A9E"/>
    <w:rsid w:val="00392C12"/>
    <w:rsid w:val="00392CB8"/>
    <w:rsid w:val="00393353"/>
    <w:rsid w:val="00393802"/>
    <w:rsid w:val="00393AC6"/>
    <w:rsid w:val="00393B6F"/>
    <w:rsid w:val="003942A6"/>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65"/>
    <w:rsid w:val="003B2173"/>
    <w:rsid w:val="003B2C68"/>
    <w:rsid w:val="003B2F04"/>
    <w:rsid w:val="003B3187"/>
    <w:rsid w:val="003B321C"/>
    <w:rsid w:val="003B3286"/>
    <w:rsid w:val="003B3407"/>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299"/>
    <w:rsid w:val="003C55C2"/>
    <w:rsid w:val="003C5A61"/>
    <w:rsid w:val="003C5EB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9B5"/>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60E"/>
    <w:rsid w:val="003F287F"/>
    <w:rsid w:val="003F291B"/>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35"/>
    <w:rsid w:val="0040077F"/>
    <w:rsid w:val="004011DE"/>
    <w:rsid w:val="0040177A"/>
    <w:rsid w:val="00401D64"/>
    <w:rsid w:val="00401EFA"/>
    <w:rsid w:val="00402135"/>
    <w:rsid w:val="00402210"/>
    <w:rsid w:val="0040245E"/>
    <w:rsid w:val="004025C1"/>
    <w:rsid w:val="004026C7"/>
    <w:rsid w:val="0040287B"/>
    <w:rsid w:val="004028E6"/>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07B9F"/>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183"/>
    <w:rsid w:val="0043080B"/>
    <w:rsid w:val="00430B4A"/>
    <w:rsid w:val="00431B77"/>
    <w:rsid w:val="00431BAD"/>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BA7"/>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111"/>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5AA"/>
    <w:rsid w:val="00481686"/>
    <w:rsid w:val="0048179A"/>
    <w:rsid w:val="00481853"/>
    <w:rsid w:val="00481CD9"/>
    <w:rsid w:val="00482BD4"/>
    <w:rsid w:val="00483BAD"/>
    <w:rsid w:val="00483C05"/>
    <w:rsid w:val="004841BF"/>
    <w:rsid w:val="004842FE"/>
    <w:rsid w:val="0048452B"/>
    <w:rsid w:val="00484581"/>
    <w:rsid w:val="004845E8"/>
    <w:rsid w:val="0048461E"/>
    <w:rsid w:val="0048463F"/>
    <w:rsid w:val="00484F60"/>
    <w:rsid w:val="00484FD0"/>
    <w:rsid w:val="004850F4"/>
    <w:rsid w:val="00485BAB"/>
    <w:rsid w:val="004861A9"/>
    <w:rsid w:val="00486D2C"/>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1E86"/>
    <w:rsid w:val="004B2869"/>
    <w:rsid w:val="004B32B4"/>
    <w:rsid w:val="004B3BD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81"/>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5CFE"/>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44F"/>
    <w:rsid w:val="004E153F"/>
    <w:rsid w:val="004E1FFE"/>
    <w:rsid w:val="004E2337"/>
    <w:rsid w:val="004E2B2E"/>
    <w:rsid w:val="004E2B9C"/>
    <w:rsid w:val="004E31D6"/>
    <w:rsid w:val="004E33C6"/>
    <w:rsid w:val="004E3B39"/>
    <w:rsid w:val="004E44A6"/>
    <w:rsid w:val="004E4700"/>
    <w:rsid w:val="004E48E9"/>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2F33"/>
    <w:rsid w:val="004F30F5"/>
    <w:rsid w:val="004F36AD"/>
    <w:rsid w:val="004F3C21"/>
    <w:rsid w:val="004F3FF0"/>
    <w:rsid w:val="004F453D"/>
    <w:rsid w:val="004F46ED"/>
    <w:rsid w:val="004F4A2D"/>
    <w:rsid w:val="004F4D00"/>
    <w:rsid w:val="004F4E8A"/>
    <w:rsid w:val="004F50AA"/>
    <w:rsid w:val="004F51A2"/>
    <w:rsid w:val="004F523D"/>
    <w:rsid w:val="004F6F4E"/>
    <w:rsid w:val="004F6F60"/>
    <w:rsid w:val="004F737B"/>
    <w:rsid w:val="004F7ADC"/>
    <w:rsid w:val="004F7C2F"/>
    <w:rsid w:val="004F7E22"/>
    <w:rsid w:val="00500078"/>
    <w:rsid w:val="005000B5"/>
    <w:rsid w:val="005004A0"/>
    <w:rsid w:val="005006BD"/>
    <w:rsid w:val="00501433"/>
    <w:rsid w:val="005015F2"/>
    <w:rsid w:val="005019CF"/>
    <w:rsid w:val="005026A8"/>
    <w:rsid w:val="0050284D"/>
    <w:rsid w:val="00502914"/>
    <w:rsid w:val="005035E9"/>
    <w:rsid w:val="00504398"/>
    <w:rsid w:val="0050446A"/>
    <w:rsid w:val="00504522"/>
    <w:rsid w:val="0050469C"/>
    <w:rsid w:val="005047A0"/>
    <w:rsid w:val="005047FF"/>
    <w:rsid w:val="00504EC1"/>
    <w:rsid w:val="00504FA0"/>
    <w:rsid w:val="005059A8"/>
    <w:rsid w:val="00505E3A"/>
    <w:rsid w:val="00506897"/>
    <w:rsid w:val="00507581"/>
    <w:rsid w:val="00507ABC"/>
    <w:rsid w:val="00507D68"/>
    <w:rsid w:val="0051006B"/>
    <w:rsid w:val="00510078"/>
    <w:rsid w:val="005104CC"/>
    <w:rsid w:val="0051071A"/>
    <w:rsid w:val="00510A01"/>
    <w:rsid w:val="00510D0D"/>
    <w:rsid w:val="00510DDC"/>
    <w:rsid w:val="00511725"/>
    <w:rsid w:val="00511787"/>
    <w:rsid w:val="005117E0"/>
    <w:rsid w:val="00511C94"/>
    <w:rsid w:val="00512008"/>
    <w:rsid w:val="00512AE5"/>
    <w:rsid w:val="005133BB"/>
    <w:rsid w:val="00513B46"/>
    <w:rsid w:val="005141F4"/>
    <w:rsid w:val="005142E9"/>
    <w:rsid w:val="005144AE"/>
    <w:rsid w:val="00515861"/>
    <w:rsid w:val="005158BA"/>
    <w:rsid w:val="00515D58"/>
    <w:rsid w:val="005167D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443"/>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0FF3"/>
    <w:rsid w:val="005510C8"/>
    <w:rsid w:val="0055122D"/>
    <w:rsid w:val="00551728"/>
    <w:rsid w:val="005521E3"/>
    <w:rsid w:val="00552692"/>
    <w:rsid w:val="00552BE4"/>
    <w:rsid w:val="00552C50"/>
    <w:rsid w:val="00552EE8"/>
    <w:rsid w:val="00552F90"/>
    <w:rsid w:val="00553635"/>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2BA8"/>
    <w:rsid w:val="0057306B"/>
    <w:rsid w:val="005730A1"/>
    <w:rsid w:val="0057499D"/>
    <w:rsid w:val="00574C95"/>
    <w:rsid w:val="00574CC0"/>
    <w:rsid w:val="005752AA"/>
    <w:rsid w:val="005758AA"/>
    <w:rsid w:val="005758CF"/>
    <w:rsid w:val="0057639B"/>
    <w:rsid w:val="0057670C"/>
    <w:rsid w:val="00576963"/>
    <w:rsid w:val="00577968"/>
    <w:rsid w:val="005800AB"/>
    <w:rsid w:val="0058068A"/>
    <w:rsid w:val="005807DE"/>
    <w:rsid w:val="005809E4"/>
    <w:rsid w:val="00580C19"/>
    <w:rsid w:val="00581367"/>
    <w:rsid w:val="0058136B"/>
    <w:rsid w:val="005818A8"/>
    <w:rsid w:val="0058273F"/>
    <w:rsid w:val="005829ED"/>
    <w:rsid w:val="00582C88"/>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3CC8"/>
    <w:rsid w:val="00594241"/>
    <w:rsid w:val="005942C3"/>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5F05"/>
    <w:rsid w:val="005B625C"/>
    <w:rsid w:val="005B64CD"/>
    <w:rsid w:val="005B6977"/>
    <w:rsid w:val="005B6EF2"/>
    <w:rsid w:val="005B7275"/>
    <w:rsid w:val="005B72FF"/>
    <w:rsid w:val="005B7391"/>
    <w:rsid w:val="005B7846"/>
    <w:rsid w:val="005B791A"/>
    <w:rsid w:val="005B79DD"/>
    <w:rsid w:val="005C0859"/>
    <w:rsid w:val="005C0F66"/>
    <w:rsid w:val="005C0FDA"/>
    <w:rsid w:val="005C1ED6"/>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6E6A"/>
    <w:rsid w:val="005D7250"/>
    <w:rsid w:val="005D7B02"/>
    <w:rsid w:val="005D7C2E"/>
    <w:rsid w:val="005D7CFC"/>
    <w:rsid w:val="005D7DAB"/>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837"/>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9F2"/>
    <w:rsid w:val="00606C75"/>
    <w:rsid w:val="00606FC0"/>
    <w:rsid w:val="006078A3"/>
    <w:rsid w:val="0061008A"/>
    <w:rsid w:val="006102AB"/>
    <w:rsid w:val="006104D4"/>
    <w:rsid w:val="00610936"/>
    <w:rsid w:val="0061140B"/>
    <w:rsid w:val="00611657"/>
    <w:rsid w:val="006117C0"/>
    <w:rsid w:val="0061181D"/>
    <w:rsid w:val="0061192E"/>
    <w:rsid w:val="006125AC"/>
    <w:rsid w:val="0061277E"/>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9F4"/>
    <w:rsid w:val="00621AF3"/>
    <w:rsid w:val="00621BC8"/>
    <w:rsid w:val="006227DD"/>
    <w:rsid w:val="00622EE2"/>
    <w:rsid w:val="00622F5F"/>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4BDA"/>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007"/>
    <w:rsid w:val="00641109"/>
    <w:rsid w:val="00641185"/>
    <w:rsid w:val="0064171F"/>
    <w:rsid w:val="00641B36"/>
    <w:rsid w:val="00641B7C"/>
    <w:rsid w:val="00641B8F"/>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0FC"/>
    <w:rsid w:val="006566A5"/>
    <w:rsid w:val="00656863"/>
    <w:rsid w:val="00657AA1"/>
    <w:rsid w:val="00660A0E"/>
    <w:rsid w:val="00660E07"/>
    <w:rsid w:val="00661115"/>
    <w:rsid w:val="00661882"/>
    <w:rsid w:val="00661A32"/>
    <w:rsid w:val="006623BD"/>
    <w:rsid w:val="006629C1"/>
    <w:rsid w:val="00662BAD"/>
    <w:rsid w:val="006634CE"/>
    <w:rsid w:val="0066372A"/>
    <w:rsid w:val="0066386C"/>
    <w:rsid w:val="006639DF"/>
    <w:rsid w:val="0066404D"/>
    <w:rsid w:val="006646C4"/>
    <w:rsid w:val="00664801"/>
    <w:rsid w:val="00664A86"/>
    <w:rsid w:val="00664D59"/>
    <w:rsid w:val="00665426"/>
    <w:rsid w:val="00665657"/>
    <w:rsid w:val="006661C0"/>
    <w:rsid w:val="006666E0"/>
    <w:rsid w:val="00666D49"/>
    <w:rsid w:val="00666EE9"/>
    <w:rsid w:val="00667C1A"/>
    <w:rsid w:val="00670445"/>
    <w:rsid w:val="006704EB"/>
    <w:rsid w:val="00670515"/>
    <w:rsid w:val="00670535"/>
    <w:rsid w:val="0067109D"/>
    <w:rsid w:val="006714A3"/>
    <w:rsid w:val="00671811"/>
    <w:rsid w:val="00671A72"/>
    <w:rsid w:val="0067224A"/>
    <w:rsid w:val="006726A6"/>
    <w:rsid w:val="00672A23"/>
    <w:rsid w:val="00672A97"/>
    <w:rsid w:val="00673024"/>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1C37"/>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BAC"/>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15F"/>
    <w:rsid w:val="006B67F6"/>
    <w:rsid w:val="006B690A"/>
    <w:rsid w:val="006B6E38"/>
    <w:rsid w:val="006B775A"/>
    <w:rsid w:val="006B7AB8"/>
    <w:rsid w:val="006C0252"/>
    <w:rsid w:val="006C0671"/>
    <w:rsid w:val="006C165A"/>
    <w:rsid w:val="006C18BA"/>
    <w:rsid w:val="006C19B2"/>
    <w:rsid w:val="006C1B50"/>
    <w:rsid w:val="006C257E"/>
    <w:rsid w:val="006C305B"/>
    <w:rsid w:val="006C31F4"/>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1F03"/>
    <w:rsid w:val="006D1FBD"/>
    <w:rsid w:val="006D20AA"/>
    <w:rsid w:val="006D20DE"/>
    <w:rsid w:val="006D21AF"/>
    <w:rsid w:val="006D233D"/>
    <w:rsid w:val="006D290E"/>
    <w:rsid w:val="006D2A35"/>
    <w:rsid w:val="006D3077"/>
    <w:rsid w:val="006D3CD5"/>
    <w:rsid w:val="006D3F69"/>
    <w:rsid w:val="006D4283"/>
    <w:rsid w:val="006D443C"/>
    <w:rsid w:val="006D4648"/>
    <w:rsid w:val="006D476D"/>
    <w:rsid w:val="006D481E"/>
    <w:rsid w:val="006D493C"/>
    <w:rsid w:val="006D508C"/>
    <w:rsid w:val="006D5E12"/>
    <w:rsid w:val="006D6083"/>
    <w:rsid w:val="006D6856"/>
    <w:rsid w:val="006D78D5"/>
    <w:rsid w:val="006E0CF4"/>
    <w:rsid w:val="006E1345"/>
    <w:rsid w:val="006E1D00"/>
    <w:rsid w:val="006E24FA"/>
    <w:rsid w:val="006E2F0A"/>
    <w:rsid w:val="006E3A28"/>
    <w:rsid w:val="006E4203"/>
    <w:rsid w:val="006E4305"/>
    <w:rsid w:val="006E4343"/>
    <w:rsid w:val="006E4614"/>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4A9"/>
    <w:rsid w:val="0070392B"/>
    <w:rsid w:val="00703A75"/>
    <w:rsid w:val="007045EC"/>
    <w:rsid w:val="00704A22"/>
    <w:rsid w:val="00704DDF"/>
    <w:rsid w:val="0070533B"/>
    <w:rsid w:val="00705823"/>
    <w:rsid w:val="0070683E"/>
    <w:rsid w:val="0070696F"/>
    <w:rsid w:val="007069CA"/>
    <w:rsid w:val="00707475"/>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1DCD"/>
    <w:rsid w:val="00722C59"/>
    <w:rsid w:val="00722D78"/>
    <w:rsid w:val="00723052"/>
    <w:rsid w:val="00723598"/>
    <w:rsid w:val="00723A4F"/>
    <w:rsid w:val="00723C26"/>
    <w:rsid w:val="00723F6D"/>
    <w:rsid w:val="0072417E"/>
    <w:rsid w:val="0072468C"/>
    <w:rsid w:val="00724712"/>
    <w:rsid w:val="007254DD"/>
    <w:rsid w:val="00726826"/>
    <w:rsid w:val="00726ED8"/>
    <w:rsid w:val="00726FBD"/>
    <w:rsid w:val="00727246"/>
    <w:rsid w:val="0073057B"/>
    <w:rsid w:val="00730756"/>
    <w:rsid w:val="00730AAD"/>
    <w:rsid w:val="007313BE"/>
    <w:rsid w:val="0073173F"/>
    <w:rsid w:val="00731828"/>
    <w:rsid w:val="00731B36"/>
    <w:rsid w:val="00731DD9"/>
    <w:rsid w:val="0073265C"/>
    <w:rsid w:val="00732835"/>
    <w:rsid w:val="00732B8B"/>
    <w:rsid w:val="00733496"/>
    <w:rsid w:val="007337AF"/>
    <w:rsid w:val="007338FC"/>
    <w:rsid w:val="00733AE5"/>
    <w:rsid w:val="00733DB7"/>
    <w:rsid w:val="00734F4A"/>
    <w:rsid w:val="007350B7"/>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1E"/>
    <w:rsid w:val="00761A87"/>
    <w:rsid w:val="00761AF5"/>
    <w:rsid w:val="00762C33"/>
    <w:rsid w:val="00762C70"/>
    <w:rsid w:val="00762EDE"/>
    <w:rsid w:val="00762F75"/>
    <w:rsid w:val="00763220"/>
    <w:rsid w:val="0076348C"/>
    <w:rsid w:val="00763742"/>
    <w:rsid w:val="00763B60"/>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422"/>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0EB"/>
    <w:rsid w:val="007953DF"/>
    <w:rsid w:val="007953EA"/>
    <w:rsid w:val="007956F4"/>
    <w:rsid w:val="007959BC"/>
    <w:rsid w:val="00795B09"/>
    <w:rsid w:val="00795DCD"/>
    <w:rsid w:val="00796107"/>
    <w:rsid w:val="0079613D"/>
    <w:rsid w:val="007963C4"/>
    <w:rsid w:val="007966C8"/>
    <w:rsid w:val="00796E61"/>
    <w:rsid w:val="007972D2"/>
    <w:rsid w:val="0079772F"/>
    <w:rsid w:val="007A011D"/>
    <w:rsid w:val="007A01DF"/>
    <w:rsid w:val="007A026C"/>
    <w:rsid w:val="007A0731"/>
    <w:rsid w:val="007A17E0"/>
    <w:rsid w:val="007A18A6"/>
    <w:rsid w:val="007A27CB"/>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9B4"/>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6599"/>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675C"/>
    <w:rsid w:val="007C7029"/>
    <w:rsid w:val="007C76B3"/>
    <w:rsid w:val="007C787C"/>
    <w:rsid w:val="007D034D"/>
    <w:rsid w:val="007D0747"/>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327"/>
    <w:rsid w:val="007D5CD6"/>
    <w:rsid w:val="007D61E8"/>
    <w:rsid w:val="007D6269"/>
    <w:rsid w:val="007D6399"/>
    <w:rsid w:val="007D688D"/>
    <w:rsid w:val="007D6D6D"/>
    <w:rsid w:val="007D74F3"/>
    <w:rsid w:val="007D76CB"/>
    <w:rsid w:val="007D7918"/>
    <w:rsid w:val="007D7AE9"/>
    <w:rsid w:val="007D7CC5"/>
    <w:rsid w:val="007E0080"/>
    <w:rsid w:val="007E0362"/>
    <w:rsid w:val="007E09CA"/>
    <w:rsid w:val="007E09F2"/>
    <w:rsid w:val="007E0BC7"/>
    <w:rsid w:val="007E0D61"/>
    <w:rsid w:val="007E1090"/>
    <w:rsid w:val="007E1471"/>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E7755"/>
    <w:rsid w:val="007E78A3"/>
    <w:rsid w:val="007F06C6"/>
    <w:rsid w:val="007F0978"/>
    <w:rsid w:val="007F0CD8"/>
    <w:rsid w:val="007F1863"/>
    <w:rsid w:val="007F1F61"/>
    <w:rsid w:val="007F2102"/>
    <w:rsid w:val="007F312C"/>
    <w:rsid w:val="007F33A6"/>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251"/>
    <w:rsid w:val="00843E31"/>
    <w:rsid w:val="008444C6"/>
    <w:rsid w:val="008447A4"/>
    <w:rsid w:val="0084482D"/>
    <w:rsid w:val="00844908"/>
    <w:rsid w:val="00844ECC"/>
    <w:rsid w:val="00845010"/>
    <w:rsid w:val="00845082"/>
    <w:rsid w:val="00845AB1"/>
    <w:rsid w:val="00846634"/>
    <w:rsid w:val="008471E0"/>
    <w:rsid w:val="00847276"/>
    <w:rsid w:val="008479D4"/>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1E"/>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4550"/>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30"/>
    <w:rsid w:val="0088195F"/>
    <w:rsid w:val="008821A1"/>
    <w:rsid w:val="00882307"/>
    <w:rsid w:val="008832FA"/>
    <w:rsid w:val="00883D9D"/>
    <w:rsid w:val="0088421D"/>
    <w:rsid w:val="008844DF"/>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BE4"/>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2FD"/>
    <w:rsid w:val="008D3516"/>
    <w:rsid w:val="008D3ABC"/>
    <w:rsid w:val="008D3C1D"/>
    <w:rsid w:val="008D3C3F"/>
    <w:rsid w:val="008D3DBE"/>
    <w:rsid w:val="008D3E6E"/>
    <w:rsid w:val="008D3F47"/>
    <w:rsid w:val="008D478B"/>
    <w:rsid w:val="008D49B4"/>
    <w:rsid w:val="008D4BDC"/>
    <w:rsid w:val="008D575C"/>
    <w:rsid w:val="008D5BFE"/>
    <w:rsid w:val="008D6132"/>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1A30"/>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20F"/>
    <w:rsid w:val="00903BCD"/>
    <w:rsid w:val="00904A36"/>
    <w:rsid w:val="00904EB5"/>
    <w:rsid w:val="00905144"/>
    <w:rsid w:val="00905412"/>
    <w:rsid w:val="009058EA"/>
    <w:rsid w:val="00905EF9"/>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A36"/>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6F8"/>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30E"/>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0B7E"/>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0AA"/>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107"/>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2D7"/>
    <w:rsid w:val="00992EF7"/>
    <w:rsid w:val="009937D9"/>
    <w:rsid w:val="00993992"/>
    <w:rsid w:val="00993B90"/>
    <w:rsid w:val="00993BD2"/>
    <w:rsid w:val="00993E5F"/>
    <w:rsid w:val="009948C9"/>
    <w:rsid w:val="00994B63"/>
    <w:rsid w:val="009950F4"/>
    <w:rsid w:val="00995489"/>
    <w:rsid w:val="00995A33"/>
    <w:rsid w:val="00995B78"/>
    <w:rsid w:val="00996133"/>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AC7"/>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8A1"/>
    <w:rsid w:val="009B29A2"/>
    <w:rsid w:val="009B2AD4"/>
    <w:rsid w:val="009B37F9"/>
    <w:rsid w:val="009B3F2F"/>
    <w:rsid w:val="009B456D"/>
    <w:rsid w:val="009B4E75"/>
    <w:rsid w:val="009B5890"/>
    <w:rsid w:val="009B5C1B"/>
    <w:rsid w:val="009B64B3"/>
    <w:rsid w:val="009B726E"/>
    <w:rsid w:val="009B7358"/>
    <w:rsid w:val="009B74A4"/>
    <w:rsid w:val="009B76C8"/>
    <w:rsid w:val="009C00C1"/>
    <w:rsid w:val="009C05BC"/>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03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4CB5"/>
    <w:rsid w:val="009D5334"/>
    <w:rsid w:val="009D53B9"/>
    <w:rsid w:val="009D5A9E"/>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47E5"/>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EA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BFE"/>
    <w:rsid w:val="00A35D0A"/>
    <w:rsid w:val="00A35D5D"/>
    <w:rsid w:val="00A3669A"/>
    <w:rsid w:val="00A36708"/>
    <w:rsid w:val="00A4025F"/>
    <w:rsid w:val="00A40D5B"/>
    <w:rsid w:val="00A41188"/>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9A8"/>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B42"/>
    <w:rsid w:val="00A62D38"/>
    <w:rsid w:val="00A634CA"/>
    <w:rsid w:val="00A639EC"/>
    <w:rsid w:val="00A63B71"/>
    <w:rsid w:val="00A63C0C"/>
    <w:rsid w:val="00A64BF9"/>
    <w:rsid w:val="00A64FC0"/>
    <w:rsid w:val="00A650FE"/>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ABD"/>
    <w:rsid w:val="00A83B80"/>
    <w:rsid w:val="00A83EA1"/>
    <w:rsid w:val="00A83EA8"/>
    <w:rsid w:val="00A84145"/>
    <w:rsid w:val="00A842BE"/>
    <w:rsid w:val="00A8439A"/>
    <w:rsid w:val="00A8439C"/>
    <w:rsid w:val="00A84B77"/>
    <w:rsid w:val="00A84E95"/>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C9E"/>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88"/>
    <w:rsid w:val="00AB13CD"/>
    <w:rsid w:val="00AB2004"/>
    <w:rsid w:val="00AB20CC"/>
    <w:rsid w:val="00AB225E"/>
    <w:rsid w:val="00AB2B2F"/>
    <w:rsid w:val="00AB31B1"/>
    <w:rsid w:val="00AB342D"/>
    <w:rsid w:val="00AB3520"/>
    <w:rsid w:val="00AB3697"/>
    <w:rsid w:val="00AB444C"/>
    <w:rsid w:val="00AB49EF"/>
    <w:rsid w:val="00AB4A0B"/>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01"/>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26"/>
    <w:rsid w:val="00AE059C"/>
    <w:rsid w:val="00AE07D5"/>
    <w:rsid w:val="00AE0945"/>
    <w:rsid w:val="00AE0CDA"/>
    <w:rsid w:val="00AE1033"/>
    <w:rsid w:val="00AE10C5"/>
    <w:rsid w:val="00AE115B"/>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898"/>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470"/>
    <w:rsid w:val="00B005E0"/>
    <w:rsid w:val="00B0065C"/>
    <w:rsid w:val="00B007B8"/>
    <w:rsid w:val="00B00B22"/>
    <w:rsid w:val="00B00D50"/>
    <w:rsid w:val="00B00F78"/>
    <w:rsid w:val="00B01140"/>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08EF"/>
    <w:rsid w:val="00B21006"/>
    <w:rsid w:val="00B21100"/>
    <w:rsid w:val="00B21545"/>
    <w:rsid w:val="00B21A2E"/>
    <w:rsid w:val="00B21C76"/>
    <w:rsid w:val="00B21F16"/>
    <w:rsid w:val="00B2205B"/>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774"/>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064"/>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18D"/>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3EC"/>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8FD"/>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41"/>
    <w:rsid w:val="00BB5FCF"/>
    <w:rsid w:val="00BB622A"/>
    <w:rsid w:val="00BB670B"/>
    <w:rsid w:val="00BB6A7E"/>
    <w:rsid w:val="00BC0612"/>
    <w:rsid w:val="00BC074C"/>
    <w:rsid w:val="00BC0B56"/>
    <w:rsid w:val="00BC19C7"/>
    <w:rsid w:val="00BC1CD3"/>
    <w:rsid w:val="00BC234F"/>
    <w:rsid w:val="00BC24A5"/>
    <w:rsid w:val="00BC2C33"/>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BC6"/>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06"/>
    <w:rsid w:val="00BE3D1A"/>
    <w:rsid w:val="00BE482A"/>
    <w:rsid w:val="00BE5038"/>
    <w:rsid w:val="00BE53A4"/>
    <w:rsid w:val="00BE5F26"/>
    <w:rsid w:val="00BE5F4F"/>
    <w:rsid w:val="00BE61F7"/>
    <w:rsid w:val="00BE65B8"/>
    <w:rsid w:val="00BE769F"/>
    <w:rsid w:val="00BE7A9C"/>
    <w:rsid w:val="00BE7E16"/>
    <w:rsid w:val="00BF03E8"/>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DD1"/>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AA6"/>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B1C"/>
    <w:rsid w:val="00C72CC9"/>
    <w:rsid w:val="00C731A2"/>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1B"/>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5A8"/>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290"/>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47D9B"/>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4D2"/>
    <w:rsid w:val="00DB1B81"/>
    <w:rsid w:val="00DB2581"/>
    <w:rsid w:val="00DB3259"/>
    <w:rsid w:val="00DB32E6"/>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5A7"/>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5E1"/>
    <w:rsid w:val="00DD7BE5"/>
    <w:rsid w:val="00DE03DF"/>
    <w:rsid w:val="00DE06FB"/>
    <w:rsid w:val="00DE07D0"/>
    <w:rsid w:val="00DE0F64"/>
    <w:rsid w:val="00DE1018"/>
    <w:rsid w:val="00DE2304"/>
    <w:rsid w:val="00DE2B08"/>
    <w:rsid w:val="00DE33AC"/>
    <w:rsid w:val="00DE33F7"/>
    <w:rsid w:val="00DE4487"/>
    <w:rsid w:val="00DE4DAB"/>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08D"/>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27F46"/>
    <w:rsid w:val="00E31589"/>
    <w:rsid w:val="00E31743"/>
    <w:rsid w:val="00E31C76"/>
    <w:rsid w:val="00E31D0B"/>
    <w:rsid w:val="00E321B2"/>
    <w:rsid w:val="00E32951"/>
    <w:rsid w:val="00E330CC"/>
    <w:rsid w:val="00E33969"/>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11B"/>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5F4"/>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BD"/>
    <w:rsid w:val="00E64CE2"/>
    <w:rsid w:val="00E64DF3"/>
    <w:rsid w:val="00E64E01"/>
    <w:rsid w:val="00E65058"/>
    <w:rsid w:val="00E65487"/>
    <w:rsid w:val="00E654C6"/>
    <w:rsid w:val="00E65768"/>
    <w:rsid w:val="00E65DC5"/>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0C10"/>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DB1"/>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27A"/>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10E4"/>
    <w:rsid w:val="00EB24DB"/>
    <w:rsid w:val="00EB26A8"/>
    <w:rsid w:val="00EB2E31"/>
    <w:rsid w:val="00EB33A7"/>
    <w:rsid w:val="00EB35D8"/>
    <w:rsid w:val="00EB35E2"/>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808"/>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06A"/>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4F9"/>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01D"/>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5DC"/>
    <w:rsid w:val="00F276D5"/>
    <w:rsid w:val="00F27875"/>
    <w:rsid w:val="00F27A08"/>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422"/>
    <w:rsid w:val="00F51B63"/>
    <w:rsid w:val="00F51E90"/>
    <w:rsid w:val="00F531AA"/>
    <w:rsid w:val="00F533A1"/>
    <w:rsid w:val="00F53BA7"/>
    <w:rsid w:val="00F549B4"/>
    <w:rsid w:val="00F54EC5"/>
    <w:rsid w:val="00F553A9"/>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6A4"/>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287"/>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7D7"/>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B3E"/>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A2E"/>
    <w:rsid w:val="00FC4DD2"/>
    <w:rsid w:val="00FC52AD"/>
    <w:rsid w:val="00FC55B0"/>
    <w:rsid w:val="00FC566A"/>
    <w:rsid w:val="00FC57B6"/>
    <w:rsid w:val="00FC5D97"/>
    <w:rsid w:val="00FC6404"/>
    <w:rsid w:val="00FC692C"/>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87F"/>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941"/>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7D26E03"/>
    <w:rsid w:val="10CD115F"/>
    <w:rsid w:val="122E40F7"/>
    <w:rsid w:val="12CC1CC6"/>
    <w:rsid w:val="13F366BE"/>
    <w:rsid w:val="15633444"/>
    <w:rsid w:val="1A9A08B1"/>
    <w:rsid w:val="1D6F7320"/>
    <w:rsid w:val="25171174"/>
    <w:rsid w:val="2A745211"/>
    <w:rsid w:val="2B260516"/>
    <w:rsid w:val="42313EE1"/>
    <w:rsid w:val="4C1B3FFE"/>
    <w:rsid w:val="4C2C0012"/>
    <w:rsid w:val="4CA7138C"/>
    <w:rsid w:val="4CE91ACF"/>
    <w:rsid w:val="50FA652F"/>
    <w:rsid w:val="53EA46B1"/>
    <w:rsid w:val="54EA11CC"/>
    <w:rsid w:val="54F97888"/>
    <w:rsid w:val="56825957"/>
    <w:rsid w:val="585C582B"/>
    <w:rsid w:val="5A53333F"/>
    <w:rsid w:val="5ACC6290"/>
    <w:rsid w:val="5C7100A9"/>
    <w:rsid w:val="5F6D60BB"/>
    <w:rsid w:val="642D103F"/>
    <w:rsid w:val="64EB7873"/>
    <w:rsid w:val="65AC69E5"/>
    <w:rsid w:val="65AE50E3"/>
    <w:rsid w:val="668A66E7"/>
    <w:rsid w:val="670A6572"/>
    <w:rsid w:val="68DB7A9A"/>
    <w:rsid w:val="68E056B2"/>
    <w:rsid w:val="69FC7CF7"/>
    <w:rsid w:val="6B131038"/>
    <w:rsid w:val="6C8C6FBE"/>
    <w:rsid w:val="6D017DB9"/>
    <w:rsid w:val="6EFC7766"/>
    <w:rsid w:val="73376795"/>
    <w:rsid w:val="77231C5D"/>
    <w:rsid w:val="7B862537"/>
    <w:rsid w:val="7BE47829"/>
    <w:rsid w:val="7DCB0C53"/>
    <w:rsid w:val="7E73565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5"/>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6"/>
    <w:qFormat/>
    <w:uiPriority w:val="0"/>
    <w:pPr>
      <w:tabs>
        <w:tab w:val="left" w:pos="720"/>
        <w:tab w:val="clear" w:pos="576"/>
      </w:tabs>
      <w:spacing w:before="120"/>
      <w:ind w:left="720" w:hanging="720"/>
      <w:outlineLvl w:val="2"/>
    </w:pPr>
    <w:rPr>
      <w:sz w:val="28"/>
    </w:rPr>
  </w:style>
  <w:style w:type="paragraph" w:styleId="5">
    <w:name w:val="heading 4"/>
    <w:basedOn w:val="4"/>
    <w:next w:val="1"/>
    <w:link w:val="37"/>
    <w:qFormat/>
    <w:uiPriority w:val="0"/>
    <w:pPr>
      <w:tabs>
        <w:tab w:val="left" w:pos="864"/>
        <w:tab w:val="clear" w:pos="720"/>
      </w:tabs>
      <w:ind w:left="864" w:hanging="864"/>
      <w:outlineLvl w:val="3"/>
    </w:pPr>
    <w:rPr>
      <w:sz w:val="20"/>
    </w:rPr>
  </w:style>
  <w:style w:type="paragraph" w:styleId="6">
    <w:name w:val="heading 5"/>
    <w:basedOn w:val="5"/>
    <w:next w:val="1"/>
    <w:link w:val="38"/>
    <w:qFormat/>
    <w:uiPriority w:val="0"/>
    <w:pPr>
      <w:tabs>
        <w:tab w:val="left" w:pos="1152"/>
        <w:tab w:val="clear" w:pos="864"/>
      </w:tabs>
      <w:ind w:left="1152" w:hanging="1152"/>
      <w:outlineLvl w:val="4"/>
    </w:pPr>
    <w:rPr>
      <w:sz w:val="22"/>
    </w:rPr>
  </w:style>
  <w:style w:type="paragraph" w:styleId="7">
    <w:name w:val="heading 7"/>
    <w:basedOn w:val="1"/>
    <w:next w:val="1"/>
    <w:link w:val="39"/>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0"/>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1"/>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4"/>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7"/>
    <w:unhideWhenUsed/>
    <w:qFormat/>
    <w:uiPriority w:val="0"/>
  </w:style>
  <w:style w:type="paragraph" w:styleId="13">
    <w:name w:val="Balloon Text"/>
    <w:basedOn w:val="1"/>
    <w:link w:val="45"/>
    <w:semiHidden/>
    <w:unhideWhenUsed/>
    <w:qFormat/>
    <w:uiPriority w:val="99"/>
    <w:rPr>
      <w:rFonts w:ascii="Cambria Math" w:hAnsi="Cambria Math" w:eastAsia="Cambria Math"/>
      <w:sz w:val="18"/>
      <w:szCs w:val="18"/>
    </w:rPr>
  </w:style>
  <w:style w:type="paragraph" w:styleId="14">
    <w:name w:val="footer"/>
    <w:basedOn w:val="1"/>
    <w:link w:val="46"/>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8"/>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99"/>
    <w:rPr>
      <w:sz w:val="21"/>
      <w:szCs w:val="21"/>
    </w:rPr>
  </w:style>
  <w:style w:type="character" w:customStyle="1" w:styleId="24">
    <w:name w:val="页眉 字符"/>
    <w:link w:val="15"/>
    <w:qFormat/>
    <w:uiPriority w:val="99"/>
    <w:rPr>
      <w:rFonts w:ascii="Times New Roman" w:hAnsi="Times New Roman" w:eastAsia="Courier New" w:cs="Times New Roman"/>
      <w:kern w:val="0"/>
      <w:sz w:val="20"/>
      <w:szCs w:val="20"/>
      <w:lang w:eastAsia="en-US"/>
    </w:rPr>
  </w:style>
  <w:style w:type="character" w:customStyle="1" w:styleId="25">
    <w:name w:val="标题 1 字符"/>
    <w:link w:val="2"/>
    <w:qFormat/>
    <w:uiPriority w:val="0"/>
    <w:rPr>
      <w:rFonts w:ascii="Arial" w:hAnsi="Arial"/>
      <w:b/>
      <w:bCs/>
      <w:kern w:val="44"/>
      <w:sz w:val="44"/>
      <w:szCs w:val="44"/>
    </w:rPr>
  </w:style>
  <w:style w:type="character" w:customStyle="1" w:styleId="26">
    <w:name w:val="文档结构图 字符"/>
    <w:link w:val="11"/>
    <w:semiHidden/>
    <w:qFormat/>
    <w:uiPriority w:val="99"/>
    <w:rPr>
      <w:rFonts w:ascii="Cambria Math" w:eastAsia="Cambria Math"/>
    </w:rPr>
  </w:style>
  <w:style w:type="paragraph" w:customStyle="1" w:styleId="27">
    <w:name w:val="TAC"/>
    <w:basedOn w:val="1"/>
    <w:link w:val="28"/>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8">
    <w:name w:val="TAC Char"/>
    <w:link w:val="27"/>
    <w:qFormat/>
    <w:uiPriority w:val="0"/>
    <w:rPr>
      <w:rFonts w:ascii="Courier New" w:hAnsi="Courier New" w:eastAsia="Yu Mincho Light" w:cs="Times New Roman"/>
      <w:kern w:val="0"/>
      <w:sz w:val="18"/>
      <w:szCs w:val="18"/>
      <w:lang w:val="en-GB"/>
    </w:rPr>
  </w:style>
  <w:style w:type="paragraph" w:customStyle="1" w:styleId="29">
    <w:name w:val="TH"/>
    <w:basedOn w:val="1"/>
    <w:link w:val="30"/>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0">
    <w:name w:val="TH Char"/>
    <w:link w:val="29"/>
    <w:qFormat/>
    <w:uiPriority w:val="0"/>
    <w:rPr>
      <w:rFonts w:ascii="Courier New" w:hAnsi="Courier New" w:eastAsia="Yu Mincho Light" w:cs="Times New Roman"/>
      <w:b/>
      <w:bCs/>
      <w:kern w:val="0"/>
      <w:sz w:val="20"/>
      <w:szCs w:val="20"/>
      <w:lang w:val="en-GB"/>
    </w:rPr>
  </w:style>
  <w:style w:type="paragraph" w:customStyle="1" w:styleId="31">
    <w:name w:val="TAH"/>
    <w:basedOn w:val="27"/>
    <w:link w:val="32"/>
    <w:qFormat/>
    <w:uiPriority w:val="0"/>
    <w:rPr>
      <w:b/>
      <w:bCs/>
    </w:rPr>
  </w:style>
  <w:style w:type="character" w:customStyle="1" w:styleId="32">
    <w:name w:val="TAH Car"/>
    <w:link w:val="31"/>
    <w:qFormat/>
    <w:uiPriority w:val="0"/>
    <w:rPr>
      <w:rFonts w:ascii="Courier New" w:hAnsi="Courier New" w:eastAsia="Yu Mincho Light" w:cs="Times New Roman"/>
      <w:b/>
      <w:bCs/>
      <w:kern w:val="0"/>
      <w:sz w:val="18"/>
      <w:szCs w:val="18"/>
      <w:lang w:val="en-GB"/>
    </w:rPr>
  </w:style>
  <w:style w:type="paragraph" w:customStyle="1" w:styleId="33">
    <w:name w:val="TAN"/>
    <w:basedOn w:val="1"/>
    <w:link w:val="34"/>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4">
    <w:name w:val="TAN Char"/>
    <w:link w:val="33"/>
    <w:qFormat/>
    <w:uiPriority w:val="0"/>
    <w:rPr>
      <w:rFonts w:ascii="Courier New" w:hAnsi="Courier New" w:eastAsia="Yu Mincho Light" w:cs="Times New Roman"/>
      <w:kern w:val="0"/>
      <w:sz w:val="18"/>
      <w:szCs w:val="18"/>
      <w:lang w:val="en-GB"/>
    </w:rPr>
  </w:style>
  <w:style w:type="character" w:customStyle="1" w:styleId="35">
    <w:name w:val="标题 2 字符"/>
    <w:link w:val="3"/>
    <w:qFormat/>
    <w:uiPriority w:val="0"/>
    <w:rPr>
      <w:rFonts w:ascii="Courier New" w:hAnsi="Courier New" w:eastAsia="Courier New" w:cs="Times New Roman"/>
      <w:kern w:val="0"/>
      <w:sz w:val="32"/>
      <w:szCs w:val="20"/>
      <w:lang w:val="en-GB" w:eastAsia="en-US"/>
    </w:rPr>
  </w:style>
  <w:style w:type="character" w:customStyle="1" w:styleId="36">
    <w:name w:val="标题 3 字符"/>
    <w:link w:val="4"/>
    <w:qFormat/>
    <w:uiPriority w:val="0"/>
    <w:rPr>
      <w:rFonts w:ascii="Courier New" w:hAnsi="Courier New" w:eastAsia="Courier New" w:cs="Times New Roman"/>
      <w:kern w:val="0"/>
      <w:sz w:val="28"/>
      <w:szCs w:val="20"/>
      <w:lang w:val="en-GB" w:eastAsia="en-US"/>
    </w:rPr>
  </w:style>
  <w:style w:type="character" w:customStyle="1" w:styleId="37">
    <w:name w:val="标题 4 字符"/>
    <w:link w:val="5"/>
    <w:qFormat/>
    <w:uiPriority w:val="0"/>
    <w:rPr>
      <w:rFonts w:ascii="Courier New" w:hAnsi="Courier New" w:eastAsia="Courier New" w:cs="Times New Roman"/>
      <w:kern w:val="0"/>
      <w:szCs w:val="20"/>
      <w:lang w:val="en-GB" w:eastAsia="en-US"/>
    </w:rPr>
  </w:style>
  <w:style w:type="character" w:customStyle="1" w:styleId="38">
    <w:name w:val="标题 5 字符"/>
    <w:link w:val="6"/>
    <w:qFormat/>
    <w:uiPriority w:val="0"/>
    <w:rPr>
      <w:rFonts w:ascii="Courier New" w:hAnsi="Courier New" w:eastAsia="Courier New" w:cs="Times New Roman"/>
      <w:kern w:val="0"/>
      <w:sz w:val="22"/>
      <w:szCs w:val="20"/>
      <w:lang w:val="en-GB" w:eastAsia="en-US"/>
    </w:rPr>
  </w:style>
  <w:style w:type="character" w:customStyle="1" w:styleId="39">
    <w:name w:val="标题 7 字符"/>
    <w:link w:val="7"/>
    <w:qFormat/>
    <w:uiPriority w:val="0"/>
    <w:rPr>
      <w:rFonts w:ascii="Courier New" w:hAnsi="Courier New" w:eastAsia="Courier New" w:cs="Times New Roman"/>
      <w:kern w:val="0"/>
      <w:sz w:val="20"/>
      <w:szCs w:val="20"/>
      <w:lang w:val="en-GB" w:eastAsia="en-US"/>
    </w:rPr>
  </w:style>
  <w:style w:type="character" w:customStyle="1" w:styleId="40">
    <w:name w:val="标题 8 字符"/>
    <w:link w:val="8"/>
    <w:qFormat/>
    <w:uiPriority w:val="0"/>
    <w:rPr>
      <w:rFonts w:ascii="Courier New" w:hAnsi="Courier New" w:eastAsia="Courier New" w:cs="Times New Roman"/>
      <w:kern w:val="0"/>
      <w:sz w:val="36"/>
      <w:szCs w:val="20"/>
      <w:lang w:val="en-GB" w:eastAsia="en-US"/>
    </w:rPr>
  </w:style>
  <w:style w:type="character" w:customStyle="1" w:styleId="41">
    <w:name w:val="标题 9 字符"/>
    <w:link w:val="9"/>
    <w:qFormat/>
    <w:uiPriority w:val="0"/>
    <w:rPr>
      <w:rFonts w:ascii="Courier New" w:hAnsi="Courier New" w:eastAsia="Courier New" w:cs="Times New Roman"/>
      <w:kern w:val="0"/>
      <w:sz w:val="36"/>
      <w:szCs w:val="20"/>
      <w:lang w:val="en-GB" w:eastAsia="en-US"/>
    </w:rPr>
  </w:style>
  <w:style w:type="paragraph" w:customStyle="1" w:styleId="42">
    <w:name w:val="彩色列表 - 强调文字颜色 11"/>
    <w:basedOn w:val="1"/>
    <w:qFormat/>
    <w:uiPriority w:val="34"/>
    <w:pPr>
      <w:ind w:firstLine="420" w:firstLineChars="200"/>
    </w:pPr>
    <w:rPr>
      <w:rFonts w:ascii="Yu Mincho Light" w:hAnsi="Yu Mincho Light"/>
      <w:sz w:val="20"/>
      <w:szCs w:val="20"/>
    </w:rPr>
  </w:style>
  <w:style w:type="paragraph" w:customStyle="1" w:styleId="43">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4">
    <w:name w:val="题注 字符"/>
    <w:link w:val="10"/>
    <w:qFormat/>
    <w:uiPriority w:val="0"/>
    <w:rPr>
      <w:rFonts w:ascii="Courier New" w:hAnsi="Courier New"/>
      <w:b/>
      <w:kern w:val="20"/>
      <w:sz w:val="16"/>
      <w:lang w:eastAsia="en-US" w:bidi="ar-SA"/>
    </w:rPr>
  </w:style>
  <w:style w:type="character" w:customStyle="1" w:styleId="45">
    <w:name w:val="批注框文本 字符"/>
    <w:link w:val="13"/>
    <w:semiHidden/>
    <w:qFormat/>
    <w:uiPriority w:val="99"/>
    <w:rPr>
      <w:rFonts w:ascii="Cambria Math" w:eastAsia="Cambria Math"/>
      <w:sz w:val="18"/>
      <w:szCs w:val="18"/>
    </w:rPr>
  </w:style>
  <w:style w:type="character" w:customStyle="1" w:styleId="46">
    <w:name w:val="页脚 字符"/>
    <w:link w:val="14"/>
    <w:qFormat/>
    <w:uiPriority w:val="99"/>
    <w:rPr>
      <w:sz w:val="18"/>
      <w:szCs w:val="18"/>
    </w:rPr>
  </w:style>
  <w:style w:type="character" w:customStyle="1" w:styleId="47">
    <w:name w:val="批注文字 字符"/>
    <w:basedOn w:val="21"/>
    <w:link w:val="12"/>
    <w:qFormat/>
    <w:uiPriority w:val="0"/>
  </w:style>
  <w:style w:type="character" w:customStyle="1" w:styleId="48">
    <w:name w:val="批注主题 字符"/>
    <w:link w:val="18"/>
    <w:semiHidden/>
    <w:qFormat/>
    <w:uiPriority w:val="99"/>
    <w:rPr>
      <w:b/>
      <w:bCs/>
    </w:rPr>
  </w:style>
  <w:style w:type="paragraph" w:customStyle="1" w:styleId="49">
    <w:name w:val="B1"/>
    <w:basedOn w:val="16"/>
    <w:link w:val="50"/>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0">
    <w:name w:val="B1 Char1"/>
    <w:link w:val="49"/>
    <w:qFormat/>
    <w:uiPriority w:val="0"/>
    <w:rPr>
      <w:rFonts w:ascii="Times New Roman" w:hAnsi="Times New Roman" w:eastAsia="Times New Roman" w:cs="Times New Roman"/>
      <w:kern w:val="0"/>
      <w:sz w:val="20"/>
      <w:szCs w:val="20"/>
      <w:lang w:val="en-GB" w:eastAsia="en-US"/>
    </w:rPr>
  </w:style>
  <w:style w:type="character" w:customStyle="1" w:styleId="51">
    <w:name w:val="B1 Char"/>
    <w:qFormat/>
    <w:locked/>
    <w:uiPriority w:val="0"/>
    <w:rPr>
      <w:lang w:val="en-GB"/>
    </w:rPr>
  </w:style>
  <w:style w:type="paragraph" w:customStyle="1" w:styleId="52">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3">
    <w:name w:val="首标题"/>
    <w:qFormat/>
    <w:uiPriority w:val="0"/>
    <w:rPr>
      <w:rFonts w:ascii="Courier New" w:hAnsi="Courier New" w:eastAsia="Yu Mincho Light"/>
      <w:sz w:val="24"/>
      <w:lang w:val="en-US" w:eastAsia="zh-CN" w:bidi="ar-SA"/>
    </w:rPr>
  </w:style>
  <w:style w:type="paragraph" w:customStyle="1" w:styleId="54">
    <w:name w:val="插图题注"/>
    <w:basedOn w:val="1"/>
    <w:qFormat/>
    <w:uiPriority w:val="0"/>
    <w:pPr>
      <w:spacing w:after="180"/>
    </w:pPr>
    <w:rPr>
      <w:sz w:val="20"/>
      <w:szCs w:val="20"/>
      <w:lang w:val="en-GB" w:eastAsia="en-US"/>
    </w:rPr>
  </w:style>
  <w:style w:type="paragraph" w:customStyle="1" w:styleId="55">
    <w:name w:val="表格题注"/>
    <w:basedOn w:val="1"/>
    <w:qFormat/>
    <w:uiPriority w:val="0"/>
    <w:pPr>
      <w:spacing w:after="180"/>
    </w:pPr>
    <w:rPr>
      <w:sz w:val="20"/>
      <w:szCs w:val="20"/>
      <w:lang w:val="en-GB" w:eastAsia="en-US"/>
    </w:rPr>
  </w:style>
  <w:style w:type="paragraph" w:customStyle="1" w:styleId="56">
    <w:name w:val="TAL"/>
    <w:basedOn w:val="1"/>
    <w:link w:val="57"/>
    <w:qFormat/>
    <w:uiPriority w:val="0"/>
    <w:pPr>
      <w:keepNext/>
      <w:keepLines/>
    </w:pPr>
    <w:rPr>
      <w:rFonts w:ascii="Courier New" w:hAnsi="Courier New"/>
      <w:sz w:val="18"/>
      <w:szCs w:val="20"/>
      <w:lang w:val="en-GB" w:eastAsia="en-US"/>
    </w:rPr>
  </w:style>
  <w:style w:type="character" w:customStyle="1" w:styleId="57">
    <w:name w:val="TAL Car"/>
    <w:link w:val="56"/>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表段落 字符"/>
    <w:link w:val="74"/>
    <w:qFormat/>
    <w:locked/>
    <w:uiPriority w:val="34"/>
    <w:rPr>
      <w:rFonts w:ascii="Times New Roman" w:hAnsi="Times New Roman" w:eastAsia="Times New Roman" w:cs="宋体"/>
      <w:sz w:val="24"/>
      <w:szCs w:val="24"/>
    </w:rPr>
  </w:style>
  <w:style w:type="paragraph" w:customStyle="1" w:styleId="76">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7">
    <w:name w:val="正文1"/>
    <w:qFormat/>
    <w:uiPriority w:val="0"/>
    <w:pPr>
      <w:jc w:val="both"/>
    </w:pPr>
    <w:rPr>
      <w:rFonts w:ascii="Times New Roman" w:hAnsi="Times New Roman" w:eastAsia="宋体" w:cs="Times New Roman"/>
      <w:kern w:val="2"/>
      <w:sz w:val="21"/>
      <w:szCs w:val="21"/>
      <w:lang w:val="en-US" w:eastAsia="zh-CN" w:bidi="ar-SA"/>
    </w:rPr>
  </w:style>
  <w:style w:type="character" w:styleId="78">
    <w:name w:val="Placeholder Text"/>
    <w:basedOn w:val="21"/>
    <w:unhideWhenUsed/>
    <w:qFormat/>
    <w:uiPriority w:val="99"/>
    <w:rPr>
      <w:color w:val="808080"/>
    </w:rPr>
  </w:style>
  <w:style w:type="paragraph" w:customStyle="1" w:styleId="79">
    <w:name w:val="PL"/>
    <w:link w:val="8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0">
    <w:name w:val="PL Char"/>
    <w:link w:val="79"/>
    <w:qFormat/>
    <w:uiPriority w:val="0"/>
    <w:rPr>
      <w:rFonts w:ascii="Courier New" w:hAnsi="Courier New" w:eastAsia="Times New Roman"/>
      <w:sz w:val="16"/>
      <w:shd w:val="clear" w:color="auto" w:fill="E6E6E6"/>
      <w:lang w:val="en-GB" w:eastAsia="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4</Pages>
  <Words>910</Words>
  <Characters>5187</Characters>
  <Lines>43</Lines>
  <Paragraphs>12</Paragraphs>
  <TotalTime>0</TotalTime>
  <ScaleCrop>false</ScaleCrop>
  <LinksUpToDate>false</LinksUpToDate>
  <CharactersWithSpaces>6085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王诗源</cp:lastModifiedBy>
  <dcterms:modified xsi:type="dcterms:W3CDTF">2023-08-11T06:14:15Z</dcterms:modified>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44F6D3E90F7D4B57837164FDC2BBA683</vt:lpwstr>
  </property>
</Properties>
</file>